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9C09C" w14:textId="77777777" w:rsidR="00F616AD" w:rsidRPr="00550D5A" w:rsidRDefault="00F616AD" w:rsidP="00F616AD">
      <w:pPr>
        <w:tabs>
          <w:tab w:val="left" w:pos="1005"/>
          <w:tab w:val="center" w:pos="4759"/>
        </w:tabs>
        <w:spacing w:after="0" w:line="240" w:lineRule="auto"/>
        <w:rPr>
          <w:rFonts w:ascii="Century Gothic" w:eastAsia="Times New Roman" w:hAnsi="Century Gothic" w:cs="Arial"/>
          <w:sz w:val="20"/>
          <w:szCs w:val="20"/>
          <w:lang w:val="es-ES_tradnl" w:eastAsia="es-ES"/>
        </w:rPr>
      </w:pPr>
      <w:bookmarkStart w:id="0" w:name="_Hlk175213471"/>
      <w:bookmarkEnd w:id="0"/>
    </w:p>
    <w:p w14:paraId="708B7C30" w14:textId="77777777" w:rsidR="00A12A57" w:rsidRPr="0038782C" w:rsidRDefault="00FE3220" w:rsidP="00BF5F4D">
      <w:pPr>
        <w:jc w:val="center"/>
        <w:rPr>
          <w:rFonts w:ascii="Arial" w:hAnsi="Arial" w:cs="Arial"/>
          <w:b/>
          <w:sz w:val="24"/>
          <w:szCs w:val="24"/>
        </w:rPr>
      </w:pPr>
      <w:r w:rsidRPr="0038782C">
        <w:rPr>
          <w:rFonts w:ascii="Arial" w:hAnsi="Arial" w:cs="Arial"/>
          <w:b/>
          <w:sz w:val="24"/>
          <w:szCs w:val="24"/>
        </w:rPr>
        <w:t xml:space="preserve">INFORME DE </w:t>
      </w:r>
      <w:r w:rsidR="00BF5F4D" w:rsidRPr="0038782C">
        <w:rPr>
          <w:rFonts w:ascii="Arial" w:hAnsi="Arial" w:cs="Arial"/>
          <w:b/>
          <w:sz w:val="24"/>
          <w:szCs w:val="24"/>
        </w:rPr>
        <w:t xml:space="preserve">SEGUIMIENTO COMITÉ DE CONCILIACIÓN Y DEFENSA JUDICIAL </w:t>
      </w:r>
    </w:p>
    <w:p w14:paraId="47BEE83A" w14:textId="0011F858" w:rsidR="00BF5F4D" w:rsidRDefault="00FF0FE0" w:rsidP="00BF5F4D">
      <w:pPr>
        <w:jc w:val="center"/>
        <w:rPr>
          <w:rFonts w:ascii="Arial" w:hAnsi="Arial" w:cs="Arial"/>
          <w:b/>
          <w:sz w:val="24"/>
          <w:szCs w:val="24"/>
        </w:rPr>
      </w:pPr>
      <w:r w:rsidRPr="0038782C">
        <w:rPr>
          <w:rFonts w:ascii="Arial" w:hAnsi="Arial" w:cs="Arial"/>
          <w:b/>
          <w:sz w:val="24"/>
          <w:szCs w:val="24"/>
        </w:rPr>
        <w:t>I</w:t>
      </w:r>
      <w:r w:rsidR="00E806B7" w:rsidRPr="0038782C">
        <w:rPr>
          <w:rFonts w:ascii="Arial" w:hAnsi="Arial" w:cs="Arial"/>
          <w:b/>
          <w:sz w:val="24"/>
          <w:szCs w:val="24"/>
        </w:rPr>
        <w:t>I</w:t>
      </w:r>
      <w:r w:rsidR="005B03F1" w:rsidRPr="0038782C">
        <w:rPr>
          <w:rFonts w:ascii="Arial" w:hAnsi="Arial" w:cs="Arial"/>
          <w:b/>
          <w:sz w:val="24"/>
          <w:szCs w:val="24"/>
        </w:rPr>
        <w:t xml:space="preserve"> SEMESTRE </w:t>
      </w:r>
      <w:r w:rsidR="0061678E" w:rsidRPr="0038782C">
        <w:rPr>
          <w:rFonts w:ascii="Arial" w:hAnsi="Arial" w:cs="Arial"/>
          <w:b/>
          <w:sz w:val="24"/>
          <w:szCs w:val="24"/>
        </w:rPr>
        <w:t xml:space="preserve">VIGENCIA </w:t>
      </w:r>
      <w:r w:rsidR="00483107" w:rsidRPr="0038782C">
        <w:rPr>
          <w:rFonts w:ascii="Arial" w:hAnsi="Arial" w:cs="Arial"/>
          <w:b/>
          <w:sz w:val="24"/>
          <w:szCs w:val="24"/>
        </w:rPr>
        <w:t>20</w:t>
      </w:r>
      <w:r w:rsidR="005B03F1" w:rsidRPr="0038782C">
        <w:rPr>
          <w:rFonts w:ascii="Arial" w:hAnsi="Arial" w:cs="Arial"/>
          <w:b/>
          <w:sz w:val="24"/>
          <w:szCs w:val="24"/>
        </w:rPr>
        <w:t>2</w:t>
      </w:r>
      <w:r w:rsidR="00B476B5" w:rsidRPr="0038782C">
        <w:rPr>
          <w:rFonts w:ascii="Arial" w:hAnsi="Arial" w:cs="Arial"/>
          <w:b/>
          <w:sz w:val="24"/>
          <w:szCs w:val="24"/>
        </w:rPr>
        <w:t>4</w:t>
      </w:r>
      <w:r w:rsidR="005B03F1" w:rsidRPr="0038782C">
        <w:rPr>
          <w:rFonts w:ascii="Arial" w:hAnsi="Arial" w:cs="Arial"/>
          <w:b/>
          <w:sz w:val="24"/>
          <w:szCs w:val="24"/>
        </w:rPr>
        <w:t xml:space="preserve"> </w:t>
      </w:r>
    </w:p>
    <w:p w14:paraId="4A38A4E8" w14:textId="77777777" w:rsidR="0038782C" w:rsidRPr="0038782C" w:rsidRDefault="0038782C" w:rsidP="00BF5F4D">
      <w:pPr>
        <w:jc w:val="center"/>
        <w:rPr>
          <w:rFonts w:ascii="Arial" w:hAnsi="Arial" w:cs="Arial"/>
          <w:b/>
          <w:sz w:val="24"/>
          <w:szCs w:val="24"/>
        </w:rPr>
      </w:pPr>
    </w:p>
    <w:p w14:paraId="01DFE4D2" w14:textId="698BD188" w:rsidR="009B6C6C" w:rsidRDefault="00BF5F4D" w:rsidP="001576B0">
      <w:pPr>
        <w:jc w:val="both"/>
        <w:rPr>
          <w:rFonts w:ascii="Arial" w:hAnsi="Arial" w:cs="Arial"/>
        </w:rPr>
      </w:pPr>
      <w:r w:rsidRPr="000E4873">
        <w:rPr>
          <w:rFonts w:ascii="Arial" w:hAnsi="Arial" w:cs="Arial"/>
        </w:rPr>
        <w:t>En cumplimiento del Rol de Seguimiento y Evaluación asignado a las Oficinas de Control Interno</w:t>
      </w:r>
      <w:r w:rsidR="00E806B7">
        <w:rPr>
          <w:rFonts w:ascii="Arial" w:hAnsi="Arial" w:cs="Arial"/>
        </w:rPr>
        <w:t xml:space="preserve"> de Gestión</w:t>
      </w:r>
      <w:r w:rsidR="00BC7FF7">
        <w:rPr>
          <w:rFonts w:ascii="Arial" w:hAnsi="Arial" w:cs="Arial"/>
        </w:rPr>
        <w:t xml:space="preserve"> por el Decreto 648 de 2017</w:t>
      </w:r>
      <w:r w:rsidRPr="000E4873">
        <w:rPr>
          <w:rFonts w:ascii="Arial" w:hAnsi="Arial" w:cs="Arial"/>
        </w:rPr>
        <w:t>, y lo dispuesto en el</w:t>
      </w:r>
      <w:r w:rsidR="00066525" w:rsidRPr="000E4873">
        <w:rPr>
          <w:rFonts w:ascii="Arial" w:hAnsi="Arial" w:cs="Arial"/>
        </w:rPr>
        <w:t xml:space="preserve"> </w:t>
      </w:r>
      <w:r w:rsidR="00066525" w:rsidRPr="001163A1">
        <w:rPr>
          <w:rFonts w:ascii="Arial" w:hAnsi="Arial" w:cs="Arial"/>
        </w:rPr>
        <w:t xml:space="preserve">artículo 2.2.4.3.1.2.1. y s.s., subsección 2 capítulo 3 del Decreto Único Reglamentario 1069 de 2015 del Ministerio de Justicia y del Derecho, modificado parcialmente por el Decreto </w:t>
      </w:r>
      <w:r w:rsidR="00066525" w:rsidRPr="000E4873">
        <w:rPr>
          <w:rFonts w:ascii="Arial" w:hAnsi="Arial" w:cs="Arial"/>
        </w:rPr>
        <w:t>1167 de 2016;</w:t>
      </w:r>
      <w:r w:rsidRPr="000E4873">
        <w:rPr>
          <w:rFonts w:ascii="Arial" w:hAnsi="Arial" w:cs="Arial"/>
        </w:rPr>
        <w:t xml:space="preserve"> prescribe: “De la acción de repetición… </w:t>
      </w:r>
      <w:r w:rsidRPr="000E4873">
        <w:rPr>
          <w:rFonts w:ascii="Arial" w:hAnsi="Arial" w:cs="Arial"/>
          <w:i/>
        </w:rPr>
        <w:t>Parágrafo único. La Oficina de Control Interno de las entidades o quien haga sus veces, deberá verificar el cumplimiento de las obligaciones contenidas en este artículo</w:t>
      </w:r>
      <w:r w:rsidR="009B6C6C" w:rsidRPr="000E4873">
        <w:rPr>
          <w:rFonts w:ascii="Arial" w:hAnsi="Arial" w:cs="Arial"/>
          <w:i/>
        </w:rPr>
        <w:t>”</w:t>
      </w:r>
      <w:r w:rsidR="009B6C6C" w:rsidRPr="000E4873">
        <w:rPr>
          <w:rFonts w:ascii="Arial" w:hAnsi="Arial" w:cs="Arial"/>
        </w:rPr>
        <w:t>;</w:t>
      </w:r>
      <w:r w:rsidR="000E3FFB" w:rsidRPr="000E4873">
        <w:rPr>
          <w:rFonts w:ascii="Arial" w:hAnsi="Arial" w:cs="Arial"/>
        </w:rPr>
        <w:t xml:space="preserve"> se</w:t>
      </w:r>
      <w:r w:rsidRPr="000E4873">
        <w:rPr>
          <w:rFonts w:ascii="Arial" w:hAnsi="Arial" w:cs="Arial"/>
        </w:rPr>
        <w:t xml:space="preserve"> presentan los resultados del seguimiento al Comité de Conciliación y Defensa Judicial </w:t>
      </w:r>
      <w:r w:rsidR="007F2926" w:rsidRPr="000E4873">
        <w:rPr>
          <w:rFonts w:ascii="Arial" w:hAnsi="Arial" w:cs="Arial"/>
        </w:rPr>
        <w:t>de la E.S.E Hospital San José del Guaviare</w:t>
      </w:r>
      <w:r w:rsidR="009B6C6C" w:rsidRPr="000E4873">
        <w:rPr>
          <w:rFonts w:ascii="Arial" w:hAnsi="Arial" w:cs="Arial"/>
        </w:rPr>
        <w:t xml:space="preserve"> </w:t>
      </w:r>
      <w:r w:rsidR="00E806B7">
        <w:rPr>
          <w:rFonts w:ascii="Arial" w:hAnsi="Arial" w:cs="Arial"/>
        </w:rPr>
        <w:t>correspondiente al Segundo S</w:t>
      </w:r>
      <w:r w:rsidR="005B03F1">
        <w:rPr>
          <w:rFonts w:ascii="Arial" w:hAnsi="Arial" w:cs="Arial"/>
        </w:rPr>
        <w:t xml:space="preserve">emestre </w:t>
      </w:r>
      <w:r w:rsidR="009B6C6C" w:rsidRPr="000E4873">
        <w:rPr>
          <w:rFonts w:ascii="Arial" w:hAnsi="Arial" w:cs="Arial"/>
        </w:rPr>
        <w:t xml:space="preserve">de </w:t>
      </w:r>
      <w:r w:rsidR="000E3FFB" w:rsidRPr="000E4873">
        <w:rPr>
          <w:rFonts w:ascii="Arial" w:hAnsi="Arial" w:cs="Arial"/>
        </w:rPr>
        <w:t xml:space="preserve">la vigencia </w:t>
      </w:r>
      <w:r w:rsidR="009B6C6C" w:rsidRPr="000E4873">
        <w:rPr>
          <w:rFonts w:ascii="Arial" w:hAnsi="Arial" w:cs="Arial"/>
        </w:rPr>
        <w:t>202</w:t>
      </w:r>
      <w:r w:rsidR="00E806B7">
        <w:rPr>
          <w:rFonts w:ascii="Arial" w:hAnsi="Arial" w:cs="Arial"/>
        </w:rPr>
        <w:t>4</w:t>
      </w:r>
      <w:r w:rsidR="009B6C6C" w:rsidRPr="000E4873">
        <w:rPr>
          <w:rFonts w:ascii="Arial" w:hAnsi="Arial" w:cs="Arial"/>
        </w:rPr>
        <w:t xml:space="preserve">. </w:t>
      </w:r>
    </w:p>
    <w:p w14:paraId="0393A2F9" w14:textId="08C0201F" w:rsidR="00387940" w:rsidRDefault="007A3D84" w:rsidP="007A3D84">
      <w:pPr>
        <w:jc w:val="both"/>
        <w:rPr>
          <w:rFonts w:ascii="Arial" w:hAnsi="Arial" w:cs="Arial"/>
        </w:rPr>
      </w:pPr>
      <w:r w:rsidRPr="001163A1">
        <w:rPr>
          <w:rFonts w:ascii="Arial" w:hAnsi="Arial" w:cs="Arial"/>
        </w:rPr>
        <w:t>El objetivo de</w:t>
      </w:r>
      <w:r w:rsidR="00C75DBA">
        <w:rPr>
          <w:rFonts w:ascii="Arial" w:hAnsi="Arial" w:cs="Arial"/>
        </w:rPr>
        <w:t xml:space="preserve">l presente informe de </w:t>
      </w:r>
      <w:r w:rsidRPr="001163A1">
        <w:rPr>
          <w:rFonts w:ascii="Arial" w:hAnsi="Arial" w:cs="Arial"/>
        </w:rPr>
        <w:t>seguimiento es verificar</w:t>
      </w:r>
      <w:r w:rsidR="000875C9">
        <w:rPr>
          <w:rFonts w:ascii="Arial" w:hAnsi="Arial" w:cs="Arial"/>
        </w:rPr>
        <w:t xml:space="preserve"> el</w:t>
      </w:r>
      <w:r w:rsidRPr="001163A1">
        <w:rPr>
          <w:rFonts w:ascii="Arial" w:hAnsi="Arial" w:cs="Arial"/>
        </w:rPr>
        <w:t xml:space="preserve"> </w:t>
      </w:r>
      <w:r w:rsidR="000875C9" w:rsidRPr="001163A1">
        <w:rPr>
          <w:rFonts w:ascii="Arial" w:hAnsi="Arial" w:cs="Arial"/>
        </w:rPr>
        <w:t xml:space="preserve">cumpliendo </w:t>
      </w:r>
      <w:r w:rsidR="000875C9">
        <w:rPr>
          <w:rFonts w:ascii="Arial" w:hAnsi="Arial" w:cs="Arial"/>
        </w:rPr>
        <w:t>de</w:t>
      </w:r>
      <w:r w:rsidR="000875C9" w:rsidRPr="001163A1">
        <w:rPr>
          <w:rFonts w:ascii="Arial" w:hAnsi="Arial" w:cs="Arial"/>
        </w:rPr>
        <w:t xml:space="preserve"> obligaciones y funciones encomendadas en la </w:t>
      </w:r>
      <w:r w:rsidR="000875C9">
        <w:rPr>
          <w:rFonts w:ascii="Arial" w:hAnsi="Arial" w:cs="Arial"/>
        </w:rPr>
        <w:t xml:space="preserve">Ley, </w:t>
      </w:r>
      <w:r w:rsidR="0056687B">
        <w:rPr>
          <w:rFonts w:ascii="Arial" w:hAnsi="Arial" w:cs="Arial"/>
        </w:rPr>
        <w:t>p</w:t>
      </w:r>
      <w:r w:rsidR="000875C9">
        <w:rPr>
          <w:rFonts w:ascii="Arial" w:hAnsi="Arial" w:cs="Arial"/>
        </w:rPr>
        <w:t xml:space="preserve">olíticas, </w:t>
      </w:r>
      <w:r w:rsidR="0056687B">
        <w:rPr>
          <w:rFonts w:ascii="Arial" w:hAnsi="Arial" w:cs="Arial"/>
        </w:rPr>
        <w:t>m</w:t>
      </w:r>
      <w:r w:rsidR="000875C9">
        <w:rPr>
          <w:rFonts w:ascii="Arial" w:hAnsi="Arial" w:cs="Arial"/>
        </w:rPr>
        <w:t>anuales, procesos y procedimientos vigentes</w:t>
      </w:r>
      <w:r w:rsidR="00A67334">
        <w:rPr>
          <w:rFonts w:ascii="Arial" w:hAnsi="Arial" w:cs="Arial"/>
        </w:rPr>
        <w:t xml:space="preserve"> y adoptados por </w:t>
      </w:r>
      <w:r w:rsidR="000875C9">
        <w:rPr>
          <w:rFonts w:ascii="Arial" w:hAnsi="Arial" w:cs="Arial"/>
        </w:rPr>
        <w:t>la Entidad</w:t>
      </w:r>
      <w:r w:rsidR="00A67334">
        <w:rPr>
          <w:rFonts w:ascii="Arial" w:hAnsi="Arial" w:cs="Arial"/>
        </w:rPr>
        <w:t>,</w:t>
      </w:r>
      <w:r w:rsidR="000875C9">
        <w:rPr>
          <w:rFonts w:ascii="Arial" w:hAnsi="Arial" w:cs="Arial"/>
        </w:rPr>
        <w:t xml:space="preserve"> </w:t>
      </w:r>
      <w:r w:rsidR="0056687B">
        <w:rPr>
          <w:rFonts w:ascii="Arial" w:hAnsi="Arial" w:cs="Arial"/>
        </w:rPr>
        <w:t xml:space="preserve">y desarrollados </w:t>
      </w:r>
      <w:r w:rsidR="000875C9">
        <w:rPr>
          <w:rFonts w:ascii="Arial" w:hAnsi="Arial" w:cs="Arial"/>
        </w:rPr>
        <w:t xml:space="preserve">en el marco del </w:t>
      </w:r>
      <w:r w:rsidR="000875C9" w:rsidRPr="001163A1">
        <w:rPr>
          <w:rFonts w:ascii="Arial" w:hAnsi="Arial" w:cs="Arial"/>
        </w:rPr>
        <w:t>Comité de Conciliación</w:t>
      </w:r>
      <w:r w:rsidR="000875C9">
        <w:rPr>
          <w:rFonts w:ascii="Arial" w:hAnsi="Arial" w:cs="Arial"/>
        </w:rPr>
        <w:t xml:space="preserve"> y Defensa Judicia</w:t>
      </w:r>
      <w:r w:rsidR="00A67334">
        <w:rPr>
          <w:rFonts w:ascii="Arial" w:hAnsi="Arial" w:cs="Arial"/>
        </w:rPr>
        <w:t>l de la ESE Hospital San José del Guaviare</w:t>
      </w:r>
      <w:r w:rsidR="004F4050">
        <w:rPr>
          <w:rFonts w:ascii="Arial" w:hAnsi="Arial" w:cs="Arial"/>
        </w:rPr>
        <w:t>; d</w:t>
      </w:r>
      <w:r w:rsidR="00387940">
        <w:rPr>
          <w:rFonts w:ascii="Arial" w:hAnsi="Arial" w:cs="Arial"/>
        </w:rPr>
        <w:t xml:space="preserve">e manera </w:t>
      </w:r>
      <w:r w:rsidR="0056687B">
        <w:rPr>
          <w:rFonts w:ascii="Arial" w:hAnsi="Arial" w:cs="Arial"/>
        </w:rPr>
        <w:t>específica</w:t>
      </w:r>
      <w:r w:rsidR="00387940">
        <w:rPr>
          <w:rFonts w:ascii="Arial" w:hAnsi="Arial" w:cs="Arial"/>
        </w:rPr>
        <w:t xml:space="preserve"> se verifica las actuaciones, gestiones y decisiones del Comité de Conciliación y Defensa Judicial de la Entidad, tomando como criterio principal los siguientes articulados del Decreto 1069 de 2015 y el Decreto 1167 de 2016:</w:t>
      </w:r>
    </w:p>
    <w:p w14:paraId="69DB06AF" w14:textId="77777777" w:rsidR="00936034" w:rsidRPr="00936034" w:rsidRDefault="00936034" w:rsidP="00936034">
      <w:pPr>
        <w:numPr>
          <w:ilvl w:val="0"/>
          <w:numId w:val="6"/>
        </w:numPr>
        <w:jc w:val="both"/>
        <w:rPr>
          <w:rFonts w:ascii="Arial" w:hAnsi="Arial" w:cs="Arial"/>
        </w:rPr>
      </w:pPr>
      <w:r>
        <w:rPr>
          <w:rFonts w:ascii="Arial" w:hAnsi="Arial" w:cs="Arial"/>
        </w:rPr>
        <w:t xml:space="preserve">Oportunidad de la acción de repetición (Art. 2.2.4.3.1.2.12 del Decreto 1069 de 2015, modificado por artículo 3 del Decreto 1167 de 2016). </w:t>
      </w:r>
    </w:p>
    <w:p w14:paraId="129C599C" w14:textId="77777777" w:rsidR="007A3D84" w:rsidRPr="001163A1" w:rsidRDefault="007A3D84" w:rsidP="007A3D84">
      <w:pPr>
        <w:numPr>
          <w:ilvl w:val="0"/>
          <w:numId w:val="6"/>
        </w:numPr>
        <w:jc w:val="both"/>
        <w:rPr>
          <w:rFonts w:ascii="Arial" w:hAnsi="Arial" w:cs="Arial"/>
        </w:rPr>
      </w:pPr>
      <w:r w:rsidRPr="001163A1">
        <w:rPr>
          <w:rFonts w:ascii="Arial" w:hAnsi="Arial" w:cs="Arial"/>
        </w:rPr>
        <w:t>Periodicidad de las reuniones del Comité (Art. 2.2.4.3.1.2.4 Decreto. 1069 de 2015).</w:t>
      </w:r>
    </w:p>
    <w:p w14:paraId="13266B66" w14:textId="77777777" w:rsidR="007A3D84" w:rsidRDefault="007A3D84" w:rsidP="007A3D84">
      <w:pPr>
        <w:numPr>
          <w:ilvl w:val="0"/>
          <w:numId w:val="6"/>
        </w:numPr>
        <w:jc w:val="both"/>
        <w:rPr>
          <w:rFonts w:ascii="Arial" w:hAnsi="Arial" w:cs="Arial"/>
        </w:rPr>
      </w:pPr>
      <w:r w:rsidRPr="001163A1">
        <w:rPr>
          <w:rFonts w:ascii="Arial" w:hAnsi="Arial" w:cs="Arial"/>
        </w:rPr>
        <w:t>Funciones del Comité de Conciliación (Art. 2.2.4.3.1.2.5 Decreto. 1069 de 2015).</w:t>
      </w:r>
    </w:p>
    <w:p w14:paraId="43F2E499" w14:textId="10EAF6E0" w:rsidR="00161C92" w:rsidRPr="001163A1" w:rsidRDefault="00161C92" w:rsidP="007A3D84">
      <w:pPr>
        <w:numPr>
          <w:ilvl w:val="0"/>
          <w:numId w:val="6"/>
        </w:numPr>
        <w:jc w:val="both"/>
        <w:rPr>
          <w:rFonts w:ascii="Arial" w:hAnsi="Arial" w:cs="Arial"/>
        </w:rPr>
      </w:pPr>
      <w:r w:rsidRPr="001163A1">
        <w:rPr>
          <w:rFonts w:ascii="Arial" w:hAnsi="Arial" w:cs="Arial"/>
        </w:rPr>
        <w:t xml:space="preserve">Funciones del </w:t>
      </w:r>
      <w:r w:rsidR="004F5684" w:rsidRPr="001163A1">
        <w:rPr>
          <w:rFonts w:ascii="Arial" w:hAnsi="Arial" w:cs="Arial"/>
        </w:rPr>
        <w:t>secretario</w:t>
      </w:r>
      <w:r w:rsidRPr="001163A1">
        <w:rPr>
          <w:rFonts w:ascii="Arial" w:hAnsi="Arial" w:cs="Arial"/>
        </w:rPr>
        <w:t xml:space="preserve"> del Comité (Art. 2.2.4.3.1.2.6 Decreto. 1069 de 2015).</w:t>
      </w:r>
    </w:p>
    <w:p w14:paraId="5838926E" w14:textId="77777777" w:rsidR="00790886" w:rsidRPr="0027134A" w:rsidRDefault="00161C92" w:rsidP="0027134A">
      <w:pPr>
        <w:pStyle w:val="Prrafodelista"/>
        <w:numPr>
          <w:ilvl w:val="0"/>
          <w:numId w:val="6"/>
        </w:numPr>
        <w:rPr>
          <w:rFonts w:ascii="Arial" w:hAnsi="Arial" w:cs="Arial"/>
        </w:rPr>
      </w:pPr>
      <w:r>
        <w:rPr>
          <w:rFonts w:ascii="Arial" w:hAnsi="Arial" w:cs="Arial"/>
        </w:rPr>
        <w:t xml:space="preserve">Verificación </w:t>
      </w:r>
      <w:r w:rsidR="000E4873">
        <w:rPr>
          <w:rFonts w:ascii="Arial" w:hAnsi="Arial" w:cs="Arial"/>
        </w:rPr>
        <w:t xml:space="preserve">de la publicación de información </w:t>
      </w:r>
      <w:r>
        <w:rPr>
          <w:rFonts w:ascii="Arial" w:hAnsi="Arial" w:cs="Arial"/>
        </w:rPr>
        <w:t xml:space="preserve">en la página Web. </w:t>
      </w:r>
    </w:p>
    <w:p w14:paraId="41E5A77C" w14:textId="77777777" w:rsidR="0056687B" w:rsidRDefault="0056687B"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p>
    <w:p w14:paraId="7F6D2BCB" w14:textId="77777777" w:rsidR="0038782C" w:rsidRDefault="0038782C"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p>
    <w:p w14:paraId="2665DCFE" w14:textId="77777777" w:rsidR="0038782C" w:rsidRDefault="0038782C"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p>
    <w:p w14:paraId="04BB35DD" w14:textId="77777777" w:rsidR="0038782C" w:rsidRDefault="0038782C"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p>
    <w:p w14:paraId="3F6B7A97" w14:textId="77777777" w:rsidR="0038782C" w:rsidRDefault="0038782C"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p>
    <w:p w14:paraId="65D237E0" w14:textId="77777777" w:rsidR="0038782C" w:rsidRDefault="0038782C"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p>
    <w:p w14:paraId="11EE3EEF" w14:textId="77777777" w:rsidR="0038782C" w:rsidRDefault="0038782C"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p>
    <w:p w14:paraId="0D565F6E" w14:textId="0152C04D" w:rsidR="005F1356" w:rsidRPr="00F7259F" w:rsidRDefault="0056687B"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r>
        <w:rPr>
          <w:rFonts w:ascii="Arial" w:hAnsi="Arial" w:cs="Arial"/>
          <w:b/>
        </w:rPr>
        <w:lastRenderedPageBreak/>
        <w:t xml:space="preserve">Metodología </w:t>
      </w:r>
    </w:p>
    <w:p w14:paraId="4597ADCB" w14:textId="77777777" w:rsidR="005F1356" w:rsidRPr="00F7259F" w:rsidRDefault="005F1356" w:rsidP="005F1356">
      <w:pPr>
        <w:widowControl w:val="0"/>
        <w:autoSpaceDE w:val="0"/>
        <w:autoSpaceDN w:val="0"/>
        <w:adjustRightInd w:val="0"/>
        <w:spacing w:before="4" w:after="0" w:line="180" w:lineRule="exact"/>
        <w:rPr>
          <w:rFonts w:ascii="Arial" w:hAnsi="Arial" w:cs="Arial"/>
        </w:rPr>
      </w:pPr>
    </w:p>
    <w:p w14:paraId="6D0AC8D6" w14:textId="51C7A770" w:rsidR="00A12A57" w:rsidRDefault="00A12A57" w:rsidP="009624E8">
      <w:pPr>
        <w:widowControl w:val="0"/>
        <w:autoSpaceDE w:val="0"/>
        <w:autoSpaceDN w:val="0"/>
        <w:adjustRightInd w:val="0"/>
        <w:spacing w:after="0" w:line="258" w:lineRule="auto"/>
        <w:ind w:right="49"/>
        <w:jc w:val="both"/>
        <w:rPr>
          <w:rFonts w:ascii="Century Gothic" w:hAnsi="Century Gothic" w:cs="Arial"/>
          <w:color w:val="000000"/>
          <w:sz w:val="20"/>
          <w:szCs w:val="20"/>
        </w:rPr>
      </w:pPr>
    </w:p>
    <w:p w14:paraId="3B5FCB37" w14:textId="607BEEF6" w:rsidR="000A6668" w:rsidRPr="006C56DA" w:rsidRDefault="005F1356" w:rsidP="000A6668">
      <w:pPr>
        <w:pStyle w:val="Prrafodelista"/>
        <w:widowControl w:val="0"/>
        <w:numPr>
          <w:ilvl w:val="0"/>
          <w:numId w:val="18"/>
        </w:numPr>
        <w:autoSpaceDE w:val="0"/>
        <w:autoSpaceDN w:val="0"/>
        <w:adjustRightInd w:val="0"/>
        <w:spacing w:after="0" w:line="258" w:lineRule="auto"/>
        <w:ind w:right="49"/>
        <w:jc w:val="both"/>
        <w:rPr>
          <w:rFonts w:ascii="Arial" w:hAnsi="Arial" w:cs="Arial"/>
        </w:rPr>
      </w:pPr>
      <w:r w:rsidRPr="00F7259F">
        <w:rPr>
          <w:rFonts w:ascii="Arial" w:hAnsi="Arial" w:cs="Arial"/>
        </w:rPr>
        <w:t>Consulta</w:t>
      </w:r>
      <w:r w:rsidR="00862AA5">
        <w:rPr>
          <w:rFonts w:ascii="Arial" w:hAnsi="Arial" w:cs="Arial"/>
        </w:rPr>
        <w:t xml:space="preserve"> verbal y escrita vía Email</w:t>
      </w:r>
      <w:r w:rsidRPr="00F7259F">
        <w:rPr>
          <w:rFonts w:ascii="Arial" w:hAnsi="Arial" w:cs="Arial"/>
        </w:rPr>
        <w:t xml:space="preserve">: </w:t>
      </w:r>
      <w:r w:rsidR="00312009">
        <w:rPr>
          <w:rFonts w:ascii="Arial" w:hAnsi="Arial" w:cs="Arial"/>
        </w:rPr>
        <w:t xml:space="preserve">a la </w:t>
      </w:r>
      <w:proofErr w:type="gramStart"/>
      <w:r w:rsidR="009742F8">
        <w:rPr>
          <w:rFonts w:ascii="Arial" w:hAnsi="Arial" w:cs="Arial"/>
        </w:rPr>
        <w:t>S</w:t>
      </w:r>
      <w:r w:rsidR="00575768">
        <w:rPr>
          <w:rFonts w:ascii="Arial" w:hAnsi="Arial" w:cs="Arial"/>
        </w:rPr>
        <w:t>ecretaria</w:t>
      </w:r>
      <w:r w:rsidR="004F5EA7">
        <w:rPr>
          <w:rFonts w:ascii="Arial" w:hAnsi="Arial" w:cs="Arial"/>
        </w:rPr>
        <w:t xml:space="preserve"> </w:t>
      </w:r>
      <w:r w:rsidR="00E43978">
        <w:rPr>
          <w:rFonts w:ascii="Arial" w:hAnsi="Arial" w:cs="Arial"/>
        </w:rPr>
        <w:t>Té</w:t>
      </w:r>
      <w:r w:rsidR="00575768">
        <w:rPr>
          <w:rFonts w:ascii="Arial" w:hAnsi="Arial" w:cs="Arial"/>
        </w:rPr>
        <w:t>cnica</w:t>
      </w:r>
      <w:proofErr w:type="gramEnd"/>
      <w:r w:rsidR="00312009">
        <w:rPr>
          <w:rFonts w:ascii="Arial" w:hAnsi="Arial" w:cs="Arial"/>
        </w:rPr>
        <w:t xml:space="preserve"> Dra. Daniela Alejandra Ramírez Vera, </w:t>
      </w:r>
      <w:proofErr w:type="gramStart"/>
      <w:r w:rsidR="009742F8">
        <w:rPr>
          <w:rFonts w:ascii="Arial" w:hAnsi="Arial" w:cs="Arial"/>
        </w:rPr>
        <w:t>Je</w:t>
      </w:r>
      <w:r w:rsidR="00575768">
        <w:rPr>
          <w:rFonts w:ascii="Arial" w:hAnsi="Arial" w:cs="Arial"/>
        </w:rPr>
        <w:t>fe</w:t>
      </w:r>
      <w:proofErr w:type="gramEnd"/>
      <w:r w:rsidR="00312009">
        <w:rPr>
          <w:rFonts w:ascii="Arial" w:hAnsi="Arial" w:cs="Arial"/>
        </w:rPr>
        <w:t xml:space="preserve"> Oficina de Control Interno Disciplinario, quien</w:t>
      </w:r>
      <w:r w:rsidR="00312009" w:rsidRPr="00F7259F">
        <w:rPr>
          <w:rFonts w:ascii="Arial" w:hAnsi="Arial" w:cs="Arial"/>
        </w:rPr>
        <w:t xml:space="preserve"> funge como </w:t>
      </w:r>
      <w:proofErr w:type="gramStart"/>
      <w:r w:rsidR="00E43978">
        <w:rPr>
          <w:rFonts w:ascii="Arial" w:hAnsi="Arial" w:cs="Arial"/>
        </w:rPr>
        <w:t>S</w:t>
      </w:r>
      <w:r w:rsidR="00575768">
        <w:rPr>
          <w:rFonts w:ascii="Arial" w:hAnsi="Arial" w:cs="Arial"/>
        </w:rPr>
        <w:t xml:space="preserve">ecretaria </w:t>
      </w:r>
      <w:r w:rsidR="00E43978">
        <w:rPr>
          <w:rFonts w:ascii="Arial" w:hAnsi="Arial" w:cs="Arial"/>
        </w:rPr>
        <w:t>T</w:t>
      </w:r>
      <w:r w:rsidR="00575768">
        <w:rPr>
          <w:rFonts w:ascii="Arial" w:hAnsi="Arial" w:cs="Arial"/>
        </w:rPr>
        <w:t>écnica</w:t>
      </w:r>
      <w:proofErr w:type="gramEnd"/>
      <w:r w:rsidR="00312009" w:rsidRPr="00F7259F">
        <w:rPr>
          <w:rFonts w:ascii="Arial" w:hAnsi="Arial" w:cs="Arial"/>
        </w:rPr>
        <w:t xml:space="preserve"> del Comité de Conciliación y Defensa Judicial</w:t>
      </w:r>
      <w:r w:rsidR="00862AA5">
        <w:rPr>
          <w:rFonts w:ascii="Arial" w:hAnsi="Arial" w:cs="Arial"/>
        </w:rPr>
        <w:t xml:space="preserve"> y</w:t>
      </w:r>
      <w:r w:rsidR="006C56DA" w:rsidRPr="00F7259F">
        <w:rPr>
          <w:rFonts w:ascii="Arial" w:hAnsi="Arial" w:cs="Arial"/>
        </w:rPr>
        <w:t xml:space="preserve"> </w:t>
      </w:r>
      <w:r w:rsidR="0056687B">
        <w:rPr>
          <w:rFonts w:ascii="Arial" w:hAnsi="Arial" w:cs="Arial"/>
        </w:rPr>
        <w:t xml:space="preserve">el </w:t>
      </w:r>
      <w:r w:rsidR="000A6668" w:rsidRPr="006C56DA">
        <w:rPr>
          <w:rFonts w:ascii="Arial" w:hAnsi="Arial" w:cs="Arial"/>
        </w:rPr>
        <w:t>abogad</w:t>
      </w:r>
      <w:r w:rsidR="0056687B">
        <w:rPr>
          <w:rFonts w:ascii="Arial" w:hAnsi="Arial" w:cs="Arial"/>
        </w:rPr>
        <w:t xml:space="preserve">o </w:t>
      </w:r>
      <w:r w:rsidR="000A6668" w:rsidRPr="006C56DA">
        <w:rPr>
          <w:rFonts w:ascii="Arial" w:hAnsi="Arial" w:cs="Arial"/>
        </w:rPr>
        <w:t>extern</w:t>
      </w:r>
      <w:r w:rsidR="0056687B">
        <w:rPr>
          <w:rFonts w:ascii="Arial" w:hAnsi="Arial" w:cs="Arial"/>
        </w:rPr>
        <w:t>o</w:t>
      </w:r>
      <w:r w:rsidR="00862AA5">
        <w:rPr>
          <w:rFonts w:ascii="Arial" w:hAnsi="Arial" w:cs="Arial"/>
        </w:rPr>
        <w:t xml:space="preserve"> Sergio Andres Aldana Salgado</w:t>
      </w:r>
      <w:r w:rsidR="005A6CE0">
        <w:rPr>
          <w:rFonts w:ascii="Arial" w:hAnsi="Arial" w:cs="Arial"/>
        </w:rPr>
        <w:t xml:space="preserve"> </w:t>
      </w:r>
      <w:r w:rsidR="000A6668" w:rsidRPr="006C56DA">
        <w:rPr>
          <w:rFonts w:ascii="Arial" w:hAnsi="Arial" w:cs="Arial"/>
        </w:rPr>
        <w:t>d</w:t>
      </w:r>
      <w:r w:rsidR="008B2CD4" w:rsidRPr="006C56DA">
        <w:rPr>
          <w:rFonts w:ascii="Arial" w:hAnsi="Arial" w:cs="Arial"/>
        </w:rPr>
        <w:t>e representación judicial</w:t>
      </w:r>
      <w:r w:rsidR="00862AA5">
        <w:rPr>
          <w:rFonts w:ascii="Arial" w:hAnsi="Arial" w:cs="Arial"/>
        </w:rPr>
        <w:t xml:space="preserve"> Dr. Sergio Andres Aldana Salgado</w:t>
      </w:r>
      <w:r w:rsidR="000A6668" w:rsidRPr="006C56DA">
        <w:rPr>
          <w:rFonts w:ascii="Arial" w:hAnsi="Arial" w:cs="Arial"/>
        </w:rPr>
        <w:t xml:space="preserve"> contra</w:t>
      </w:r>
      <w:r w:rsidR="005A6CE0">
        <w:rPr>
          <w:rFonts w:ascii="Arial" w:hAnsi="Arial" w:cs="Arial"/>
        </w:rPr>
        <w:t>tado por la Entidad</w:t>
      </w:r>
      <w:r w:rsidR="00862AA5">
        <w:rPr>
          <w:rFonts w:ascii="Arial" w:hAnsi="Arial" w:cs="Arial"/>
        </w:rPr>
        <w:t>,</w:t>
      </w:r>
      <w:r w:rsidR="005A6CE0">
        <w:rPr>
          <w:rFonts w:ascii="Arial" w:hAnsi="Arial" w:cs="Arial"/>
        </w:rPr>
        <w:t xml:space="preserve"> </w:t>
      </w:r>
      <w:r w:rsidR="00934A2F" w:rsidRPr="006C56DA">
        <w:rPr>
          <w:rFonts w:ascii="Arial" w:hAnsi="Arial" w:cs="Arial"/>
        </w:rPr>
        <w:t xml:space="preserve">la información necesaria para la verificación. </w:t>
      </w:r>
    </w:p>
    <w:p w14:paraId="6503E341" w14:textId="2204CD80" w:rsidR="008334FF" w:rsidRPr="00E20801" w:rsidRDefault="00C2082C"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sidRPr="00F7259F">
        <w:rPr>
          <w:rFonts w:ascii="Arial" w:hAnsi="Arial" w:cs="Arial"/>
        </w:rPr>
        <w:t>Verificación: Se realiz</w:t>
      </w:r>
      <w:r w:rsidR="00862AA5">
        <w:rPr>
          <w:rFonts w:ascii="Arial" w:hAnsi="Arial" w:cs="Arial"/>
        </w:rPr>
        <w:t>a</w:t>
      </w:r>
      <w:r w:rsidRPr="00F7259F">
        <w:rPr>
          <w:rFonts w:ascii="Arial" w:hAnsi="Arial" w:cs="Arial"/>
        </w:rPr>
        <w:t xml:space="preserve"> verificación y análisis de la información digital entregada mediante correo electrónico </w:t>
      </w:r>
      <w:r w:rsidR="00862AA5">
        <w:rPr>
          <w:rFonts w:ascii="Arial" w:hAnsi="Arial" w:cs="Arial"/>
        </w:rPr>
        <w:t xml:space="preserve">y/o física </w:t>
      </w:r>
      <w:r w:rsidR="005B4DF4">
        <w:rPr>
          <w:rFonts w:ascii="Arial" w:hAnsi="Arial" w:cs="Arial"/>
        </w:rPr>
        <w:t>de la ESE Hospital S</w:t>
      </w:r>
      <w:r w:rsidR="005E5FBC">
        <w:rPr>
          <w:rFonts w:ascii="Arial" w:hAnsi="Arial" w:cs="Arial"/>
        </w:rPr>
        <w:t xml:space="preserve">an </w:t>
      </w:r>
      <w:r w:rsidR="00862AA5">
        <w:rPr>
          <w:rFonts w:ascii="Arial" w:hAnsi="Arial" w:cs="Arial"/>
        </w:rPr>
        <w:t>José</w:t>
      </w:r>
      <w:r w:rsidR="005E5FBC">
        <w:rPr>
          <w:rFonts w:ascii="Arial" w:hAnsi="Arial" w:cs="Arial"/>
        </w:rPr>
        <w:t xml:space="preserve"> del </w:t>
      </w:r>
      <w:r w:rsidR="005B4DF4">
        <w:rPr>
          <w:rFonts w:ascii="Arial" w:hAnsi="Arial" w:cs="Arial"/>
        </w:rPr>
        <w:t>G</w:t>
      </w:r>
      <w:r w:rsidR="005E5FBC">
        <w:rPr>
          <w:rFonts w:ascii="Arial" w:hAnsi="Arial" w:cs="Arial"/>
        </w:rPr>
        <w:t>uaviare</w:t>
      </w:r>
      <w:r w:rsidR="007E32B8">
        <w:rPr>
          <w:rFonts w:ascii="Arial" w:hAnsi="Arial" w:cs="Arial"/>
        </w:rPr>
        <w:t>.</w:t>
      </w:r>
    </w:p>
    <w:p w14:paraId="5F2EBE24" w14:textId="7188F255" w:rsidR="00E20801" w:rsidRPr="00862AA5" w:rsidRDefault="00E20801"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Pr>
          <w:rFonts w:ascii="Arial" w:hAnsi="Arial" w:cs="Arial"/>
        </w:rPr>
        <w:t>Solicitud al área de Tesorería, en cuanto se informe, una vez sean efectuados el pago total de una condena</w:t>
      </w:r>
      <w:r w:rsidR="00E43978">
        <w:rPr>
          <w:rFonts w:ascii="Arial" w:hAnsi="Arial" w:cs="Arial"/>
        </w:rPr>
        <w:t>.</w:t>
      </w:r>
    </w:p>
    <w:p w14:paraId="6767622D" w14:textId="5D99457C" w:rsidR="00862AA5" w:rsidRPr="00936034" w:rsidRDefault="00862AA5"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Pr>
          <w:rFonts w:ascii="Arial" w:hAnsi="Arial" w:cs="Arial"/>
        </w:rPr>
        <w:t xml:space="preserve">Emisión y remisión al Representante legal de la Entidad y a todos los miembros del Comité, el informe de seguimiento al Comité de Conciliación y Defensa Judicial para conocimiento, insumo de información para la toma de decisiones y fines pertinentes a que </w:t>
      </w:r>
      <w:r w:rsidR="00D14D1C">
        <w:rPr>
          <w:rFonts w:ascii="Arial" w:hAnsi="Arial" w:cs="Arial"/>
        </w:rPr>
        <w:t>haya lugar de conformidad a las recomendaciones indicadas por la Oficina de Control Interno de Gestión.</w:t>
      </w:r>
    </w:p>
    <w:p w14:paraId="6132327E" w14:textId="77777777" w:rsidR="00936034" w:rsidRPr="00936034" w:rsidRDefault="00936034" w:rsidP="00936034">
      <w:pPr>
        <w:widowControl w:val="0"/>
        <w:autoSpaceDE w:val="0"/>
        <w:autoSpaceDN w:val="0"/>
        <w:adjustRightInd w:val="0"/>
        <w:spacing w:before="74" w:after="0" w:line="230" w:lineRule="auto"/>
        <w:ind w:right="49"/>
        <w:jc w:val="both"/>
        <w:rPr>
          <w:rFonts w:ascii="Arial" w:hAnsi="Arial" w:cs="Arial"/>
          <w:color w:val="1F1F21"/>
          <w:spacing w:val="-2"/>
        </w:rPr>
      </w:pPr>
    </w:p>
    <w:p w14:paraId="5DC7EB9B" w14:textId="7ED8DC41" w:rsidR="00936034" w:rsidRDefault="00936034" w:rsidP="00936034">
      <w:pPr>
        <w:numPr>
          <w:ilvl w:val="0"/>
          <w:numId w:val="21"/>
        </w:numPr>
        <w:jc w:val="both"/>
        <w:rPr>
          <w:rFonts w:ascii="Arial" w:hAnsi="Arial" w:cs="Arial"/>
          <w:b/>
        </w:rPr>
      </w:pPr>
      <w:r>
        <w:rPr>
          <w:rFonts w:ascii="Arial" w:hAnsi="Arial" w:cs="Arial"/>
          <w:b/>
        </w:rPr>
        <w:t xml:space="preserve">Oportunidad de la </w:t>
      </w:r>
      <w:r w:rsidR="00E43978">
        <w:rPr>
          <w:rFonts w:ascii="Arial" w:hAnsi="Arial" w:cs="Arial"/>
          <w:b/>
        </w:rPr>
        <w:t>A</w:t>
      </w:r>
      <w:r>
        <w:rPr>
          <w:rFonts w:ascii="Arial" w:hAnsi="Arial" w:cs="Arial"/>
          <w:b/>
        </w:rPr>
        <w:t xml:space="preserve">cción de </w:t>
      </w:r>
      <w:r w:rsidR="00E43978">
        <w:rPr>
          <w:rFonts w:ascii="Arial" w:hAnsi="Arial" w:cs="Arial"/>
          <w:b/>
        </w:rPr>
        <w:t>R</w:t>
      </w:r>
      <w:r>
        <w:rPr>
          <w:rFonts w:ascii="Arial" w:hAnsi="Arial" w:cs="Arial"/>
          <w:b/>
        </w:rPr>
        <w:t>epetición</w:t>
      </w:r>
    </w:p>
    <w:p w14:paraId="59A67F5C" w14:textId="77777777" w:rsidR="00936034" w:rsidRDefault="00936034" w:rsidP="00936034">
      <w:pPr>
        <w:pStyle w:val="Prrafodelista"/>
        <w:ind w:left="360"/>
        <w:jc w:val="both"/>
        <w:rPr>
          <w:rFonts w:ascii="Arial" w:hAnsi="Arial" w:cs="Arial"/>
          <w:i/>
        </w:rPr>
      </w:pPr>
      <w:r>
        <w:rPr>
          <w:rFonts w:ascii="Arial" w:hAnsi="Arial" w:cs="Arial"/>
        </w:rPr>
        <w:t>El artículo 2.2.4.3.1.2.12 del Decreto 1069 de 2015, modificado por el artículo 3 del Decreto 1167 de 2016, establece: “</w:t>
      </w:r>
      <w:r>
        <w:rPr>
          <w:rFonts w:ascii="Arial" w:hAnsi="Arial" w:cs="Arial"/>
          <w:i/>
        </w:rPr>
        <w:t xml:space="preserve">De la acción de repetición. Los Comités de Conciliación de las entidades públicas deberán realizar los estudios pertinentes para determinar la procedencia de la acción de repetición. Para ello, el ordenador del gasto, al día siguiente del pago total del capital de una condena, de una conciliación o de cualquier otro crédito surgido por concepto de la responsabilidad patrimonial de la entidad, deberá remitir el acto administrativo y sus antecedentes al Comité de Conciliación, para que en un término no superior a </w:t>
      </w:r>
      <w:r w:rsidR="002C157B">
        <w:rPr>
          <w:rFonts w:ascii="Arial" w:hAnsi="Arial" w:cs="Arial"/>
          <w:i/>
        </w:rPr>
        <w:t xml:space="preserve">cuatro </w:t>
      </w:r>
      <w:r>
        <w:rPr>
          <w:rFonts w:ascii="Arial" w:hAnsi="Arial" w:cs="Arial"/>
          <w:i/>
        </w:rPr>
        <w:t>(4) meses se adopte la decisión motivada de iniciar o no el proceso de repetición y se presente la correspondiente demanda, cuando la misma resulte procedente, dentro de los tres (2) meses siguientes a la decisión</w:t>
      </w:r>
      <w:r>
        <w:rPr>
          <w:rFonts w:ascii="Arial" w:hAnsi="Arial" w:cs="Arial"/>
        </w:rPr>
        <w:t xml:space="preserve">. </w:t>
      </w:r>
      <w:r>
        <w:rPr>
          <w:rFonts w:ascii="Arial" w:hAnsi="Arial" w:cs="Arial"/>
          <w:i/>
        </w:rPr>
        <w:t xml:space="preserve">Parágrafo. La Oficina de Control Interno de las entidades o quien haga sus veces, deberá verificar el cumplimiento de las obligaciones contenidas en este artículo.”  </w:t>
      </w:r>
    </w:p>
    <w:p w14:paraId="6370D565" w14:textId="77777777" w:rsidR="00936034" w:rsidRDefault="00936034" w:rsidP="00936034">
      <w:pPr>
        <w:pStyle w:val="Prrafodelista"/>
        <w:ind w:left="360"/>
        <w:jc w:val="both"/>
        <w:rPr>
          <w:rFonts w:ascii="Arial" w:hAnsi="Arial" w:cs="Arial"/>
        </w:rPr>
      </w:pPr>
    </w:p>
    <w:p w14:paraId="6F1CE6CF" w14:textId="4D7E869E" w:rsidR="00E40AF1" w:rsidRDefault="00936034" w:rsidP="007E6862">
      <w:pPr>
        <w:pStyle w:val="Prrafodelista"/>
        <w:ind w:left="360"/>
        <w:jc w:val="both"/>
        <w:rPr>
          <w:rFonts w:ascii="Arial" w:hAnsi="Arial" w:cs="Arial"/>
        </w:rPr>
      </w:pPr>
      <w:r>
        <w:rPr>
          <w:rFonts w:ascii="Arial" w:hAnsi="Arial" w:cs="Arial"/>
        </w:rPr>
        <w:t xml:space="preserve">De acuerdo a información suministrada por el área Tesorería para </w:t>
      </w:r>
      <w:r w:rsidR="00F221FA">
        <w:rPr>
          <w:rFonts w:ascii="Arial" w:hAnsi="Arial" w:cs="Arial"/>
        </w:rPr>
        <w:t xml:space="preserve">el </w:t>
      </w:r>
      <w:r w:rsidR="00E7669A">
        <w:rPr>
          <w:rFonts w:ascii="Arial" w:hAnsi="Arial" w:cs="Arial"/>
        </w:rPr>
        <w:t>segundo</w:t>
      </w:r>
      <w:r w:rsidR="00F221FA">
        <w:rPr>
          <w:rFonts w:ascii="Arial" w:hAnsi="Arial" w:cs="Arial"/>
        </w:rPr>
        <w:t xml:space="preserve"> semestre de la vigencia </w:t>
      </w:r>
      <w:r>
        <w:rPr>
          <w:rFonts w:ascii="Arial" w:hAnsi="Arial" w:cs="Arial"/>
        </w:rPr>
        <w:t>20</w:t>
      </w:r>
      <w:r w:rsidR="00F221FA">
        <w:rPr>
          <w:rFonts w:ascii="Arial" w:hAnsi="Arial" w:cs="Arial"/>
        </w:rPr>
        <w:t>2</w:t>
      </w:r>
      <w:r w:rsidR="00AA62B0">
        <w:rPr>
          <w:rFonts w:ascii="Arial" w:hAnsi="Arial" w:cs="Arial"/>
        </w:rPr>
        <w:t>4</w:t>
      </w:r>
      <w:r w:rsidR="00E43978">
        <w:rPr>
          <w:rFonts w:ascii="Arial" w:hAnsi="Arial" w:cs="Arial"/>
        </w:rPr>
        <w:t>,</w:t>
      </w:r>
      <w:r w:rsidR="00AA62B0">
        <w:rPr>
          <w:rFonts w:ascii="Arial" w:hAnsi="Arial" w:cs="Arial"/>
        </w:rPr>
        <w:t xml:space="preserve"> la Entidad realizo él pago total del proceso con radicado No. </w:t>
      </w:r>
      <w:r w:rsidR="00E7669A" w:rsidRPr="00E7669A">
        <w:rPr>
          <w:rFonts w:ascii="Arial" w:hAnsi="Arial" w:cs="Arial"/>
        </w:rPr>
        <w:t>50 001 33 33 007 2017 00354 00.</w:t>
      </w:r>
      <w:r w:rsidR="00AA62B0">
        <w:rPr>
          <w:rFonts w:ascii="Arial" w:hAnsi="Arial" w:cs="Arial"/>
        </w:rPr>
        <w:t xml:space="preserve"> Demandante </w:t>
      </w:r>
      <w:r w:rsidR="00E7669A">
        <w:rPr>
          <w:rFonts w:ascii="Arial" w:hAnsi="Arial" w:cs="Arial"/>
        </w:rPr>
        <w:t>SIXTA ESPINNOSA</w:t>
      </w:r>
      <w:r w:rsidR="00AA62B0">
        <w:rPr>
          <w:rFonts w:ascii="Arial" w:hAnsi="Arial" w:cs="Arial"/>
        </w:rPr>
        <w:t xml:space="preserve">, con fecha </w:t>
      </w:r>
      <w:r w:rsidR="009E1EC0">
        <w:rPr>
          <w:rFonts w:ascii="Arial" w:hAnsi="Arial" w:cs="Arial"/>
        </w:rPr>
        <w:t xml:space="preserve">9/07/2024 día en que se pagó el total de lo ordenado en el fallo, también se notificó por correo electrónico a los miembros del Comité de Conciliación y Defensa Judicial tal acción. </w:t>
      </w:r>
    </w:p>
    <w:p w14:paraId="31FDBA9B" w14:textId="77777777" w:rsidR="009E1EC0" w:rsidRDefault="009E1EC0" w:rsidP="007E6862">
      <w:pPr>
        <w:pStyle w:val="Prrafodelista"/>
        <w:ind w:left="360"/>
        <w:jc w:val="both"/>
        <w:rPr>
          <w:rFonts w:ascii="Arial" w:hAnsi="Arial" w:cs="Arial"/>
        </w:rPr>
      </w:pPr>
    </w:p>
    <w:p w14:paraId="3BBD9ADC" w14:textId="77777777" w:rsidR="009E1EC0" w:rsidRDefault="009E1EC0" w:rsidP="006A50EC">
      <w:pPr>
        <w:pStyle w:val="Prrafodelista"/>
        <w:ind w:left="1776" w:firstLine="348"/>
        <w:jc w:val="both"/>
        <w:rPr>
          <w:rFonts w:ascii="Arial" w:hAnsi="Arial" w:cs="Arial"/>
          <w:sz w:val="16"/>
          <w:szCs w:val="16"/>
        </w:rPr>
      </w:pPr>
    </w:p>
    <w:p w14:paraId="11E33051" w14:textId="77777777" w:rsidR="009E1EC0" w:rsidRDefault="009E1EC0" w:rsidP="006A50EC">
      <w:pPr>
        <w:pStyle w:val="Prrafodelista"/>
        <w:ind w:left="1776" w:firstLine="348"/>
        <w:jc w:val="both"/>
        <w:rPr>
          <w:rFonts w:ascii="Arial" w:hAnsi="Arial" w:cs="Arial"/>
          <w:sz w:val="16"/>
          <w:szCs w:val="16"/>
        </w:rPr>
      </w:pPr>
    </w:p>
    <w:p w14:paraId="3714F140" w14:textId="77777777" w:rsidR="009E1EC0" w:rsidRDefault="009E1EC0" w:rsidP="006A50EC">
      <w:pPr>
        <w:pStyle w:val="Prrafodelista"/>
        <w:ind w:left="1776" w:firstLine="348"/>
        <w:jc w:val="both"/>
        <w:rPr>
          <w:rFonts w:ascii="Arial" w:hAnsi="Arial" w:cs="Arial"/>
          <w:sz w:val="16"/>
          <w:szCs w:val="16"/>
        </w:rPr>
      </w:pPr>
    </w:p>
    <w:p w14:paraId="77FC0327" w14:textId="77777777" w:rsidR="009E1EC0" w:rsidRDefault="009E1EC0" w:rsidP="006A50EC">
      <w:pPr>
        <w:pStyle w:val="Prrafodelista"/>
        <w:ind w:left="1776" w:firstLine="348"/>
        <w:jc w:val="both"/>
        <w:rPr>
          <w:rFonts w:ascii="Arial" w:hAnsi="Arial" w:cs="Arial"/>
          <w:sz w:val="16"/>
          <w:szCs w:val="16"/>
        </w:rPr>
      </w:pPr>
    </w:p>
    <w:p w14:paraId="3DB41A46" w14:textId="77777777" w:rsidR="009E1EC0" w:rsidRDefault="009E1EC0" w:rsidP="006A50EC">
      <w:pPr>
        <w:pStyle w:val="Prrafodelista"/>
        <w:ind w:left="1776" w:firstLine="348"/>
        <w:jc w:val="both"/>
        <w:rPr>
          <w:rFonts w:ascii="Arial" w:hAnsi="Arial" w:cs="Arial"/>
          <w:sz w:val="16"/>
          <w:szCs w:val="16"/>
        </w:rPr>
      </w:pPr>
    </w:p>
    <w:p w14:paraId="6259538C" w14:textId="4160D76E" w:rsidR="009E1EC0" w:rsidRPr="009E1EC0" w:rsidRDefault="006A50EC" w:rsidP="009E1EC0">
      <w:pPr>
        <w:pStyle w:val="Prrafodelista"/>
        <w:ind w:left="1776" w:firstLine="348"/>
        <w:jc w:val="both"/>
        <w:rPr>
          <w:rFonts w:ascii="Arial" w:hAnsi="Arial" w:cs="Arial"/>
          <w:sz w:val="16"/>
          <w:szCs w:val="16"/>
        </w:rPr>
      </w:pPr>
      <w:r w:rsidRPr="002B448D">
        <w:rPr>
          <w:rFonts w:ascii="Arial" w:hAnsi="Arial" w:cs="Arial"/>
          <w:sz w:val="16"/>
          <w:szCs w:val="16"/>
        </w:rPr>
        <w:lastRenderedPageBreak/>
        <w:t xml:space="preserve">Imagen No. </w:t>
      </w:r>
      <w:r w:rsidR="002B448D" w:rsidRPr="002B448D">
        <w:rPr>
          <w:rFonts w:ascii="Arial" w:hAnsi="Arial" w:cs="Arial"/>
          <w:sz w:val="16"/>
          <w:szCs w:val="16"/>
        </w:rPr>
        <w:t>1</w:t>
      </w:r>
      <w:r w:rsidRPr="002B448D">
        <w:rPr>
          <w:rFonts w:ascii="Arial" w:hAnsi="Arial" w:cs="Arial"/>
          <w:sz w:val="16"/>
          <w:szCs w:val="16"/>
        </w:rPr>
        <w:t xml:space="preserve"> </w:t>
      </w:r>
      <w:r w:rsidR="002B448D">
        <w:rPr>
          <w:rFonts w:ascii="Arial" w:hAnsi="Arial" w:cs="Arial"/>
          <w:sz w:val="16"/>
          <w:szCs w:val="16"/>
        </w:rPr>
        <w:t xml:space="preserve">Notificación </w:t>
      </w:r>
      <w:r w:rsidRPr="002B448D">
        <w:rPr>
          <w:rFonts w:ascii="Arial" w:hAnsi="Arial" w:cs="Arial"/>
          <w:sz w:val="16"/>
          <w:szCs w:val="16"/>
        </w:rPr>
        <w:t>pantallazo correo enviado</w:t>
      </w:r>
    </w:p>
    <w:p w14:paraId="5E55048B" w14:textId="54E1F336" w:rsidR="00767F34" w:rsidRPr="00C54496" w:rsidRDefault="009E1EC0" w:rsidP="00C54496">
      <w:pPr>
        <w:rPr>
          <w:rFonts w:ascii="Arial" w:hAnsi="Arial" w:cs="Arial"/>
          <w:sz w:val="16"/>
          <w:szCs w:val="16"/>
        </w:rPr>
      </w:pPr>
      <w:r>
        <w:rPr>
          <w:noProof/>
        </w:rPr>
        <w:drawing>
          <wp:inline distT="0" distB="0" distL="0" distR="0" wp14:anchorId="2BCC168B" wp14:editId="06559AE4">
            <wp:extent cx="5937292" cy="3879668"/>
            <wp:effectExtent l="0" t="0" r="6350" b="6985"/>
            <wp:docPr id="305317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17641" name=""/>
                    <pic:cNvPicPr/>
                  </pic:nvPicPr>
                  <pic:blipFill rotWithShape="1">
                    <a:blip r:embed="rId8"/>
                    <a:srcRect l="41724" t="30251" r="1347" b="3589"/>
                    <a:stretch/>
                  </pic:blipFill>
                  <pic:spPr bwMode="auto">
                    <a:xfrm>
                      <a:off x="0" y="0"/>
                      <a:ext cx="5950692" cy="3888424"/>
                    </a:xfrm>
                    <a:prstGeom prst="rect">
                      <a:avLst/>
                    </a:prstGeom>
                    <a:ln>
                      <a:noFill/>
                    </a:ln>
                    <a:extLst>
                      <a:ext uri="{53640926-AAD7-44D8-BBD7-CCE9431645EC}">
                        <a14:shadowObscured xmlns:a14="http://schemas.microsoft.com/office/drawing/2010/main"/>
                      </a:ext>
                    </a:extLst>
                  </pic:spPr>
                </pic:pic>
              </a:graphicData>
            </a:graphic>
          </wp:inline>
        </w:drawing>
      </w:r>
      <w:r w:rsidR="006A50EC" w:rsidRPr="00E43978">
        <w:rPr>
          <w:rFonts w:ascii="Arial" w:hAnsi="Arial" w:cs="Arial"/>
          <w:sz w:val="16"/>
          <w:szCs w:val="16"/>
        </w:rPr>
        <w:t>Fuente:</w:t>
      </w:r>
      <w:r w:rsidR="00E407C2">
        <w:rPr>
          <w:rFonts w:ascii="Arial" w:hAnsi="Arial" w:cs="Arial"/>
          <w:sz w:val="16"/>
          <w:szCs w:val="16"/>
        </w:rPr>
        <w:t xml:space="preserve"> </w:t>
      </w:r>
      <w:proofErr w:type="gramStart"/>
      <w:r w:rsidR="00E407C2">
        <w:rPr>
          <w:rFonts w:ascii="Arial" w:hAnsi="Arial" w:cs="Arial"/>
          <w:sz w:val="16"/>
          <w:szCs w:val="16"/>
        </w:rPr>
        <w:t xml:space="preserve">Correos </w:t>
      </w:r>
      <w:r w:rsidR="006A50EC" w:rsidRPr="00E43978">
        <w:rPr>
          <w:rFonts w:ascii="Arial" w:hAnsi="Arial" w:cs="Arial"/>
          <w:sz w:val="16"/>
          <w:szCs w:val="16"/>
        </w:rPr>
        <w:t xml:space="preserve"> </w:t>
      </w:r>
      <w:r w:rsidR="002B448D" w:rsidRPr="00E43978">
        <w:rPr>
          <w:rFonts w:ascii="Arial" w:hAnsi="Arial" w:cs="Arial"/>
          <w:sz w:val="16"/>
          <w:szCs w:val="16"/>
        </w:rPr>
        <w:t>O.</w:t>
      </w:r>
      <w:r w:rsidR="006A50EC" w:rsidRPr="00E43978">
        <w:rPr>
          <w:rFonts w:ascii="Arial" w:hAnsi="Arial" w:cs="Arial"/>
          <w:sz w:val="16"/>
          <w:szCs w:val="16"/>
        </w:rPr>
        <w:t>C.I.G</w:t>
      </w:r>
      <w:proofErr w:type="gramEnd"/>
      <w:r w:rsidR="00E407C2">
        <w:rPr>
          <w:rFonts w:ascii="Arial" w:hAnsi="Arial" w:cs="Arial"/>
          <w:sz w:val="16"/>
          <w:szCs w:val="16"/>
        </w:rPr>
        <w:t xml:space="preserve"> y Tesorería. </w:t>
      </w:r>
    </w:p>
    <w:p w14:paraId="31ABCC17" w14:textId="7F6E4F56" w:rsidR="00C54496" w:rsidRDefault="00C54496" w:rsidP="00C54496">
      <w:pPr>
        <w:jc w:val="both"/>
        <w:rPr>
          <w:rFonts w:ascii="Arial" w:hAnsi="Arial" w:cs="Arial"/>
        </w:rPr>
      </w:pPr>
      <w:r>
        <w:rPr>
          <w:rFonts w:ascii="Arial" w:hAnsi="Arial" w:cs="Arial"/>
        </w:rPr>
        <w:t xml:space="preserve">De acuerdo al informe se seguimiento al Comité de Conciliación y Defensa Judicial correspondiente </w:t>
      </w:r>
      <w:r w:rsidR="007A566F">
        <w:rPr>
          <w:rFonts w:ascii="Arial" w:hAnsi="Arial" w:cs="Arial"/>
        </w:rPr>
        <w:t xml:space="preserve">al primer semestre 2024, como también lo informado por el área de Tesorería de la Entidad, la ESE Hospital </w:t>
      </w:r>
      <w:r w:rsidR="00364F8F">
        <w:rPr>
          <w:rFonts w:ascii="Arial" w:hAnsi="Arial" w:cs="Arial"/>
        </w:rPr>
        <w:t>SJG realizó el pago total de</w:t>
      </w:r>
      <w:r w:rsidR="007A566F">
        <w:rPr>
          <w:rFonts w:ascii="Arial" w:hAnsi="Arial" w:cs="Arial"/>
        </w:rPr>
        <w:t xml:space="preserve"> 2 </w:t>
      </w:r>
      <w:r w:rsidR="00364F8F">
        <w:rPr>
          <w:rFonts w:ascii="Arial" w:hAnsi="Arial" w:cs="Arial"/>
        </w:rPr>
        <w:t>demandas falladas en contra de la Entidad</w:t>
      </w:r>
      <w:r w:rsidR="007A566F">
        <w:rPr>
          <w:rFonts w:ascii="Arial" w:hAnsi="Arial" w:cs="Arial"/>
        </w:rPr>
        <w:t>. Al respecto se advierte la</w:t>
      </w:r>
      <w:r w:rsidR="00982524">
        <w:rPr>
          <w:rFonts w:ascii="Arial" w:hAnsi="Arial" w:cs="Arial"/>
        </w:rPr>
        <w:t xml:space="preserve"> presunta</w:t>
      </w:r>
      <w:r w:rsidR="007A566F">
        <w:rPr>
          <w:rFonts w:ascii="Arial" w:hAnsi="Arial" w:cs="Arial"/>
        </w:rPr>
        <w:t xml:space="preserve"> omisión</w:t>
      </w:r>
      <w:r w:rsidR="00A37346">
        <w:rPr>
          <w:rFonts w:ascii="Arial" w:hAnsi="Arial" w:cs="Arial"/>
        </w:rPr>
        <w:t xml:space="preserve"> </w:t>
      </w:r>
      <w:r w:rsidR="006B4457">
        <w:rPr>
          <w:rFonts w:ascii="Arial" w:hAnsi="Arial" w:cs="Arial"/>
        </w:rPr>
        <w:t>frente a</w:t>
      </w:r>
      <w:r w:rsidR="00A37346">
        <w:rPr>
          <w:rFonts w:ascii="Arial" w:hAnsi="Arial" w:cs="Arial"/>
        </w:rPr>
        <w:t xml:space="preserve"> los términos otorgados por el artículo 3 del Decreto 1167 de 2016 para el proceso de estudio y análisis de procedencia</w:t>
      </w:r>
      <w:r w:rsidR="006B4457">
        <w:rPr>
          <w:rFonts w:ascii="Arial" w:hAnsi="Arial" w:cs="Arial"/>
        </w:rPr>
        <w:t xml:space="preserve"> o no,</w:t>
      </w:r>
      <w:r w:rsidR="00A37346">
        <w:rPr>
          <w:rFonts w:ascii="Arial" w:hAnsi="Arial" w:cs="Arial"/>
        </w:rPr>
        <w:t xml:space="preserve"> como</w:t>
      </w:r>
      <w:r w:rsidR="006B4457">
        <w:rPr>
          <w:rFonts w:ascii="Arial" w:hAnsi="Arial" w:cs="Arial"/>
        </w:rPr>
        <w:t xml:space="preserve"> también para la </w:t>
      </w:r>
      <w:r w:rsidR="00A37346">
        <w:rPr>
          <w:rFonts w:ascii="Arial" w:hAnsi="Arial" w:cs="Arial"/>
        </w:rPr>
        <w:t>radicación del medio de control de acción de repetición</w:t>
      </w:r>
      <w:r w:rsidR="006B4457">
        <w:rPr>
          <w:rFonts w:ascii="Arial" w:hAnsi="Arial" w:cs="Arial"/>
        </w:rPr>
        <w:t>;</w:t>
      </w:r>
      <w:r w:rsidR="007A566F">
        <w:rPr>
          <w:rFonts w:ascii="Arial" w:hAnsi="Arial" w:cs="Arial"/>
        </w:rPr>
        <w:t xml:space="preserve"> por parte del </w:t>
      </w:r>
      <w:r w:rsidR="00E15D1A">
        <w:rPr>
          <w:rFonts w:ascii="Arial" w:hAnsi="Arial" w:cs="Arial"/>
        </w:rPr>
        <w:t>R</w:t>
      </w:r>
      <w:r w:rsidR="007A566F">
        <w:rPr>
          <w:rFonts w:ascii="Arial" w:hAnsi="Arial" w:cs="Arial"/>
        </w:rPr>
        <w:t xml:space="preserve">epresentante </w:t>
      </w:r>
      <w:r w:rsidR="00E15D1A">
        <w:rPr>
          <w:rFonts w:ascii="Arial" w:hAnsi="Arial" w:cs="Arial"/>
        </w:rPr>
        <w:t>L</w:t>
      </w:r>
      <w:r w:rsidR="007A566F">
        <w:rPr>
          <w:rFonts w:ascii="Arial" w:hAnsi="Arial" w:cs="Arial"/>
        </w:rPr>
        <w:t>egal</w:t>
      </w:r>
      <w:r w:rsidR="00770FC7">
        <w:rPr>
          <w:rFonts w:ascii="Arial" w:hAnsi="Arial" w:cs="Arial"/>
        </w:rPr>
        <w:t xml:space="preserve"> y </w:t>
      </w:r>
      <w:r w:rsidR="007A566F">
        <w:rPr>
          <w:rFonts w:ascii="Arial" w:hAnsi="Arial" w:cs="Arial"/>
        </w:rPr>
        <w:t xml:space="preserve">de los miembros del Comité de Conciliación y </w:t>
      </w:r>
      <w:r w:rsidR="004F5EA7">
        <w:rPr>
          <w:rFonts w:ascii="Arial" w:hAnsi="Arial" w:cs="Arial"/>
        </w:rPr>
        <w:t>D</w:t>
      </w:r>
      <w:r w:rsidR="007A566F">
        <w:rPr>
          <w:rFonts w:ascii="Arial" w:hAnsi="Arial" w:cs="Arial"/>
        </w:rPr>
        <w:t>efensa Judicial</w:t>
      </w:r>
      <w:r w:rsidR="00770FC7">
        <w:rPr>
          <w:rFonts w:ascii="Arial" w:hAnsi="Arial" w:cs="Arial"/>
        </w:rPr>
        <w:t xml:space="preserve">. </w:t>
      </w:r>
    </w:p>
    <w:p w14:paraId="464C41EB" w14:textId="7C465D2F" w:rsidR="00F54D9F" w:rsidRDefault="00F54D9F" w:rsidP="00C54496">
      <w:pPr>
        <w:jc w:val="both"/>
        <w:rPr>
          <w:rFonts w:ascii="Arial" w:hAnsi="Arial" w:cs="Arial"/>
        </w:rPr>
      </w:pPr>
      <w:r>
        <w:rPr>
          <w:rFonts w:ascii="Arial" w:hAnsi="Arial" w:cs="Arial"/>
        </w:rPr>
        <w:t>Cuadro No. 1 Información de Procesos con pago total en el 2024</w:t>
      </w:r>
    </w:p>
    <w:tbl>
      <w:tblPr>
        <w:tblStyle w:val="Tablaconcuadrcula"/>
        <w:tblW w:w="0" w:type="auto"/>
        <w:tblLook w:val="04A0" w:firstRow="1" w:lastRow="0" w:firstColumn="1" w:lastColumn="0" w:noHBand="0" w:noVBand="1"/>
      </w:tblPr>
      <w:tblGrid>
        <w:gridCol w:w="3020"/>
        <w:gridCol w:w="3021"/>
        <w:gridCol w:w="3021"/>
      </w:tblGrid>
      <w:tr w:rsidR="00F3571E" w:rsidRPr="00F54D9F" w14:paraId="1280497C" w14:textId="77777777" w:rsidTr="00F54D9F">
        <w:tc>
          <w:tcPr>
            <w:tcW w:w="3020" w:type="dxa"/>
          </w:tcPr>
          <w:p w14:paraId="3155F299" w14:textId="7049F809" w:rsidR="00F3571E" w:rsidRPr="00F54D9F" w:rsidRDefault="00F3571E" w:rsidP="00C54496">
            <w:pPr>
              <w:jc w:val="both"/>
              <w:rPr>
                <w:rFonts w:ascii="Arial" w:hAnsi="Arial" w:cs="Arial"/>
              </w:rPr>
            </w:pPr>
            <w:r w:rsidRPr="00F54D9F">
              <w:rPr>
                <w:rFonts w:ascii="Arial" w:hAnsi="Arial" w:cs="Arial"/>
              </w:rPr>
              <w:t xml:space="preserve">Proceso No. </w:t>
            </w:r>
            <w:r w:rsidRPr="00F54D9F">
              <w:rPr>
                <w:rFonts w:ascii="Arial" w:hAnsi="Arial" w:cs="Arial"/>
                <w:sz w:val="22"/>
                <w:szCs w:val="22"/>
              </w:rPr>
              <w:t>50 001 33 33 007 2017 00354 00.</w:t>
            </w:r>
            <w:r w:rsidRPr="00F54D9F">
              <w:rPr>
                <w:rFonts w:ascii="Arial" w:hAnsi="Arial" w:cs="Arial"/>
              </w:rPr>
              <w:t xml:space="preserve"> Demandante SIXTA ESPINNOSA</w:t>
            </w:r>
          </w:p>
        </w:tc>
        <w:tc>
          <w:tcPr>
            <w:tcW w:w="3021" w:type="dxa"/>
          </w:tcPr>
          <w:p w14:paraId="4948B04C" w14:textId="12D8E01B" w:rsidR="00F3571E" w:rsidRPr="00F54D9F" w:rsidRDefault="00F3571E" w:rsidP="00C54496">
            <w:pPr>
              <w:jc w:val="both"/>
              <w:rPr>
                <w:rFonts w:ascii="Arial" w:hAnsi="Arial" w:cs="Arial"/>
              </w:rPr>
            </w:pPr>
            <w:r w:rsidRPr="00F54D9F">
              <w:rPr>
                <w:rFonts w:ascii="Arial" w:hAnsi="Arial" w:cs="Arial"/>
              </w:rPr>
              <w:t>Fecha de ultimo pago: 9 de julio de 2024</w:t>
            </w:r>
          </w:p>
        </w:tc>
        <w:tc>
          <w:tcPr>
            <w:tcW w:w="3021" w:type="dxa"/>
          </w:tcPr>
          <w:p w14:paraId="04A03E3C" w14:textId="45A37C20" w:rsidR="00F3571E" w:rsidRPr="00F54D9F" w:rsidRDefault="00F3571E" w:rsidP="00C54496">
            <w:pPr>
              <w:jc w:val="both"/>
              <w:rPr>
                <w:rFonts w:ascii="Arial" w:hAnsi="Arial" w:cs="Arial"/>
              </w:rPr>
            </w:pPr>
            <w:r w:rsidRPr="00F54D9F">
              <w:rPr>
                <w:rFonts w:ascii="Arial" w:hAnsi="Arial" w:cs="Arial"/>
              </w:rPr>
              <w:t>Fecha proceso de estudio de procedencia:10 de enero de 2025</w:t>
            </w:r>
            <w:r w:rsidR="007A6541">
              <w:rPr>
                <w:rFonts w:ascii="Arial" w:hAnsi="Arial" w:cs="Arial"/>
              </w:rPr>
              <w:t>.</w:t>
            </w:r>
          </w:p>
        </w:tc>
      </w:tr>
      <w:tr w:rsidR="00F3571E" w14:paraId="37AB0783" w14:textId="77777777" w:rsidTr="00F54D9F">
        <w:tc>
          <w:tcPr>
            <w:tcW w:w="3020" w:type="dxa"/>
          </w:tcPr>
          <w:p w14:paraId="5E8FCAAC" w14:textId="6787176A" w:rsidR="00F3571E" w:rsidRPr="00F54D9F" w:rsidRDefault="00F3571E" w:rsidP="00F3571E">
            <w:pPr>
              <w:jc w:val="both"/>
              <w:rPr>
                <w:rFonts w:ascii="Arial" w:hAnsi="Arial" w:cs="Arial"/>
              </w:rPr>
            </w:pPr>
            <w:r w:rsidRPr="00F54D9F">
              <w:rPr>
                <w:rFonts w:ascii="Arial" w:hAnsi="Arial" w:cs="Arial"/>
              </w:rPr>
              <w:t xml:space="preserve">proceso No. 50001 33 31 003 2012 00074 00 Demandante PEDRO ALIRIO VACA CASTAÑEDA Y OTROS, </w:t>
            </w:r>
          </w:p>
        </w:tc>
        <w:tc>
          <w:tcPr>
            <w:tcW w:w="3021" w:type="dxa"/>
          </w:tcPr>
          <w:p w14:paraId="4D5F2444" w14:textId="16DF7526" w:rsidR="00F3571E" w:rsidRPr="00F54D9F" w:rsidRDefault="00F3571E" w:rsidP="00F3571E">
            <w:pPr>
              <w:jc w:val="both"/>
              <w:rPr>
                <w:rFonts w:ascii="Arial" w:hAnsi="Arial" w:cs="Arial"/>
              </w:rPr>
            </w:pPr>
            <w:r w:rsidRPr="00F54D9F">
              <w:rPr>
                <w:rFonts w:ascii="Arial" w:hAnsi="Arial" w:cs="Arial"/>
              </w:rPr>
              <w:t>Fecha de ultimo pago: 2 de mayo de 2024</w:t>
            </w:r>
          </w:p>
        </w:tc>
        <w:tc>
          <w:tcPr>
            <w:tcW w:w="3021" w:type="dxa"/>
          </w:tcPr>
          <w:p w14:paraId="55FF213D" w14:textId="1CA584B6" w:rsidR="00F3571E" w:rsidRDefault="00F3571E" w:rsidP="00F3571E">
            <w:pPr>
              <w:jc w:val="both"/>
              <w:rPr>
                <w:rFonts w:ascii="Arial" w:hAnsi="Arial" w:cs="Arial"/>
              </w:rPr>
            </w:pPr>
            <w:r w:rsidRPr="00F54D9F">
              <w:rPr>
                <w:rFonts w:ascii="Arial" w:hAnsi="Arial" w:cs="Arial"/>
              </w:rPr>
              <w:t>Fecha proceso de estudio de procedencia:</w:t>
            </w:r>
            <w:r w:rsidR="00F263FC" w:rsidRPr="00F54D9F">
              <w:rPr>
                <w:rFonts w:ascii="Arial" w:hAnsi="Arial" w:cs="Arial"/>
              </w:rPr>
              <w:t>3</w:t>
            </w:r>
            <w:r w:rsidRPr="00F54D9F">
              <w:rPr>
                <w:rFonts w:ascii="Arial" w:hAnsi="Arial" w:cs="Arial"/>
              </w:rPr>
              <w:t xml:space="preserve"> de </w:t>
            </w:r>
            <w:r w:rsidR="00F263FC" w:rsidRPr="00F54D9F">
              <w:rPr>
                <w:rFonts w:ascii="Arial" w:hAnsi="Arial" w:cs="Arial"/>
              </w:rPr>
              <w:t>noviembre d</w:t>
            </w:r>
            <w:r w:rsidRPr="00F54D9F">
              <w:rPr>
                <w:rFonts w:ascii="Arial" w:hAnsi="Arial" w:cs="Arial"/>
              </w:rPr>
              <w:t>e 202</w:t>
            </w:r>
            <w:r w:rsidR="00F263FC" w:rsidRPr="00F54D9F">
              <w:rPr>
                <w:rFonts w:ascii="Arial" w:hAnsi="Arial" w:cs="Arial"/>
              </w:rPr>
              <w:t>4</w:t>
            </w:r>
          </w:p>
        </w:tc>
      </w:tr>
    </w:tbl>
    <w:p w14:paraId="48E0651A" w14:textId="77777777" w:rsidR="000C5AD0" w:rsidRDefault="000C5AD0" w:rsidP="00C54496">
      <w:pPr>
        <w:jc w:val="both"/>
        <w:rPr>
          <w:rFonts w:ascii="Arial" w:hAnsi="Arial" w:cs="Arial"/>
        </w:rPr>
      </w:pPr>
    </w:p>
    <w:p w14:paraId="0F1DCD45" w14:textId="1552324D" w:rsidR="00770FC7" w:rsidRDefault="00770FC7" w:rsidP="00C54496">
      <w:pPr>
        <w:jc w:val="both"/>
        <w:rPr>
          <w:rFonts w:ascii="Arial" w:hAnsi="Arial" w:cs="Arial"/>
        </w:rPr>
      </w:pPr>
      <w:r>
        <w:rPr>
          <w:rFonts w:ascii="Arial" w:hAnsi="Arial" w:cs="Arial"/>
        </w:rPr>
        <w:lastRenderedPageBreak/>
        <w:t>Se deja claridad que se han vencido los términos para el proceso interno del Comité de Conciliación y Defensa Judicial, mas no se afirma que se haya caducado el t</w:t>
      </w:r>
      <w:r w:rsidR="007A6541">
        <w:rPr>
          <w:rFonts w:ascii="Arial" w:hAnsi="Arial" w:cs="Arial"/>
        </w:rPr>
        <w:t>é</w:t>
      </w:r>
      <w:r>
        <w:rPr>
          <w:rFonts w:ascii="Arial" w:hAnsi="Arial" w:cs="Arial"/>
        </w:rPr>
        <w:t xml:space="preserve">rmino para proceder con el medio de control de acción de repetición contra el o los </w:t>
      </w:r>
      <w:r w:rsidR="007A6541">
        <w:rPr>
          <w:rFonts w:ascii="Arial" w:hAnsi="Arial" w:cs="Arial"/>
        </w:rPr>
        <w:t>Servidores P</w:t>
      </w:r>
      <w:r>
        <w:rPr>
          <w:rFonts w:ascii="Arial" w:hAnsi="Arial" w:cs="Arial"/>
        </w:rPr>
        <w:t>úblicos</w:t>
      </w:r>
      <w:r w:rsidR="004F5EA7">
        <w:rPr>
          <w:rFonts w:ascii="Arial" w:hAnsi="Arial" w:cs="Arial"/>
        </w:rPr>
        <w:t xml:space="preserve"> y/o particular con funciones públicas</w:t>
      </w:r>
      <w:r>
        <w:rPr>
          <w:rFonts w:ascii="Arial" w:hAnsi="Arial" w:cs="Arial"/>
        </w:rPr>
        <w:t xml:space="preserve"> responsables de los hechos o causas que generaron las controversias judiciales. En tanto que estos términos recomiendo sean revisados y definidos por el represéntate judicial y la </w:t>
      </w:r>
      <w:r w:rsidR="004F5EA7">
        <w:rPr>
          <w:rFonts w:ascii="Arial" w:hAnsi="Arial" w:cs="Arial"/>
        </w:rPr>
        <w:t>O</w:t>
      </w:r>
      <w:r>
        <w:rPr>
          <w:rFonts w:ascii="Arial" w:hAnsi="Arial" w:cs="Arial"/>
        </w:rPr>
        <w:t xml:space="preserve">ficina </w:t>
      </w:r>
      <w:r w:rsidR="004F5EA7">
        <w:rPr>
          <w:rFonts w:ascii="Arial" w:hAnsi="Arial" w:cs="Arial"/>
        </w:rPr>
        <w:t>J</w:t>
      </w:r>
      <w:r>
        <w:rPr>
          <w:rFonts w:ascii="Arial" w:hAnsi="Arial" w:cs="Arial"/>
        </w:rPr>
        <w:t>urídica de la Entidad</w:t>
      </w:r>
      <w:r w:rsidR="00793C58">
        <w:rPr>
          <w:rFonts w:ascii="Arial" w:hAnsi="Arial" w:cs="Arial"/>
        </w:rPr>
        <w:t xml:space="preserve"> de</w:t>
      </w:r>
      <w:r>
        <w:rPr>
          <w:rFonts w:ascii="Arial" w:hAnsi="Arial" w:cs="Arial"/>
        </w:rPr>
        <w:t xml:space="preserve"> conformidad a la ley que le aplique a cada proceso</w:t>
      </w:r>
      <w:r w:rsidR="00793C58">
        <w:rPr>
          <w:rFonts w:ascii="Arial" w:hAnsi="Arial" w:cs="Arial"/>
        </w:rPr>
        <w:t xml:space="preserve"> (</w:t>
      </w:r>
      <w:r w:rsidR="00793C58" w:rsidRPr="00A83F7C">
        <w:rPr>
          <w:rFonts w:ascii="Arial" w:hAnsi="Arial" w:cs="Arial"/>
        </w:rPr>
        <w:t>CCA, CPACA y Ley 2195 de 202</w:t>
      </w:r>
      <w:r w:rsidR="00A83F7C">
        <w:rPr>
          <w:rFonts w:ascii="Arial" w:hAnsi="Arial" w:cs="Arial"/>
        </w:rPr>
        <w:t xml:space="preserve">2). </w:t>
      </w:r>
      <w:r>
        <w:rPr>
          <w:rFonts w:ascii="Arial" w:hAnsi="Arial" w:cs="Arial"/>
        </w:rPr>
        <w:t xml:space="preserve">Lo anterior teniendo en cuenta que la oficina de Control Interno no dispone de la Información del Expediente como tampoco es competente para ello.  </w:t>
      </w:r>
    </w:p>
    <w:p w14:paraId="627FBDAA" w14:textId="389DA35F" w:rsidR="007A7A4F" w:rsidRDefault="007A7A4F" w:rsidP="007A7A4F">
      <w:pPr>
        <w:jc w:val="both"/>
        <w:rPr>
          <w:rFonts w:ascii="Arial" w:hAnsi="Arial" w:cs="Arial"/>
        </w:rPr>
      </w:pPr>
      <w:r>
        <w:rPr>
          <w:rFonts w:ascii="Arial" w:hAnsi="Arial" w:cs="Arial"/>
        </w:rPr>
        <w:t>De otra parte, se reitera lo señalado en el informe del I semestre 2024</w:t>
      </w:r>
      <w:r w:rsidR="007A6541">
        <w:rPr>
          <w:rFonts w:ascii="Arial" w:hAnsi="Arial" w:cs="Arial"/>
        </w:rPr>
        <w:t xml:space="preserve">, </w:t>
      </w:r>
      <w:r>
        <w:rPr>
          <w:rFonts w:ascii="Arial" w:hAnsi="Arial" w:cs="Arial"/>
        </w:rPr>
        <w:t>dado la relevancia del particular</w:t>
      </w:r>
      <w:r w:rsidR="0063098B">
        <w:rPr>
          <w:rFonts w:ascii="Arial" w:hAnsi="Arial" w:cs="Arial"/>
        </w:rPr>
        <w:t>, en tanto que se trata de la materialización del riesgo (Hallazgo), el cual hoy la entidad enfrenta y subsana mediante el Plan de Mejoramiento suscrito con el Ente de Control (Contraloría Departamental del Guaviare).</w:t>
      </w:r>
      <w:r>
        <w:rPr>
          <w:rFonts w:ascii="Arial" w:hAnsi="Arial" w:cs="Arial"/>
        </w:rPr>
        <w:t xml:space="preserve"> </w:t>
      </w:r>
    </w:p>
    <w:p w14:paraId="6D838924" w14:textId="3824A9DC" w:rsidR="00596886" w:rsidRPr="007A7A4F" w:rsidRDefault="007A7A4F" w:rsidP="007A7A4F">
      <w:pPr>
        <w:jc w:val="both"/>
        <w:rPr>
          <w:rFonts w:ascii="Arial" w:hAnsi="Arial" w:cs="Arial"/>
          <w:i/>
          <w:iCs/>
        </w:rPr>
      </w:pPr>
      <w:r>
        <w:rPr>
          <w:rFonts w:ascii="Arial" w:hAnsi="Arial" w:cs="Arial"/>
        </w:rPr>
        <w:t>“</w:t>
      </w:r>
      <w:r w:rsidR="001019AA" w:rsidRPr="007A7A4F">
        <w:rPr>
          <w:rFonts w:ascii="Arial" w:hAnsi="Arial" w:cs="Arial"/>
          <w:i/>
          <w:iCs/>
        </w:rPr>
        <w:t xml:space="preserve">teniendo en cuenta </w:t>
      </w:r>
      <w:r w:rsidR="00913E80" w:rsidRPr="007A7A4F">
        <w:rPr>
          <w:rFonts w:ascii="Arial" w:hAnsi="Arial" w:cs="Arial"/>
          <w:i/>
          <w:iCs/>
        </w:rPr>
        <w:t xml:space="preserve">la Auditoría Financiara y de Gestión Vigencia auditada 2023 PVCFT 2024, </w:t>
      </w:r>
      <w:r w:rsidR="00BD24EB" w:rsidRPr="007A7A4F">
        <w:rPr>
          <w:rFonts w:ascii="Arial" w:hAnsi="Arial" w:cs="Arial"/>
          <w:i/>
          <w:iCs/>
        </w:rPr>
        <w:t xml:space="preserve">en la cual se confirma </w:t>
      </w:r>
      <w:r w:rsidR="001019AA" w:rsidRPr="007A7A4F">
        <w:rPr>
          <w:rFonts w:ascii="Arial" w:hAnsi="Arial" w:cs="Arial"/>
          <w:i/>
          <w:iCs/>
        </w:rPr>
        <w:t>el hallazgo</w:t>
      </w:r>
      <w:r w:rsidR="00913E80" w:rsidRPr="007A7A4F">
        <w:rPr>
          <w:rFonts w:ascii="Arial" w:hAnsi="Arial" w:cs="Arial"/>
          <w:i/>
          <w:iCs/>
        </w:rPr>
        <w:t xml:space="preserve"> No. 12 Administrativo con incidencia disciplinaria y fiscal</w:t>
      </w:r>
      <w:r w:rsidR="00A22665" w:rsidRPr="007A7A4F">
        <w:rPr>
          <w:rFonts w:ascii="Arial" w:hAnsi="Arial" w:cs="Arial"/>
          <w:i/>
          <w:iCs/>
        </w:rPr>
        <w:t>. Ahora bien,</w:t>
      </w:r>
      <w:r w:rsidR="00BB777A" w:rsidRPr="007A7A4F">
        <w:rPr>
          <w:rFonts w:ascii="Arial" w:hAnsi="Arial" w:cs="Arial"/>
          <w:i/>
          <w:iCs/>
        </w:rPr>
        <w:t xml:space="preserve"> </w:t>
      </w:r>
      <w:r w:rsidR="00BD24EB" w:rsidRPr="007A7A4F">
        <w:rPr>
          <w:rFonts w:ascii="Arial" w:hAnsi="Arial" w:cs="Arial"/>
          <w:i/>
          <w:iCs/>
        </w:rPr>
        <w:t xml:space="preserve">sin perjuicio </w:t>
      </w:r>
      <w:r w:rsidR="00BB777A" w:rsidRPr="007A7A4F">
        <w:rPr>
          <w:rFonts w:ascii="Arial" w:hAnsi="Arial" w:cs="Arial"/>
          <w:i/>
          <w:iCs/>
        </w:rPr>
        <w:t xml:space="preserve">al debido cumplimiento que la Entidad debe </w:t>
      </w:r>
      <w:r w:rsidR="00E1457C" w:rsidRPr="007A7A4F">
        <w:rPr>
          <w:rFonts w:ascii="Arial" w:hAnsi="Arial" w:cs="Arial"/>
          <w:i/>
          <w:iCs/>
        </w:rPr>
        <w:t xml:space="preserve">efectuar en el desarrollo de las acciones de mejora </w:t>
      </w:r>
      <w:r w:rsidR="00BB777A" w:rsidRPr="007A7A4F">
        <w:rPr>
          <w:rFonts w:ascii="Arial" w:hAnsi="Arial" w:cs="Arial"/>
          <w:i/>
          <w:iCs/>
        </w:rPr>
        <w:t>al plan de mejoramiento ya suscrito</w:t>
      </w:r>
      <w:r w:rsidR="00A22665" w:rsidRPr="007A7A4F">
        <w:rPr>
          <w:rFonts w:ascii="Arial" w:hAnsi="Arial" w:cs="Arial"/>
          <w:i/>
          <w:iCs/>
        </w:rPr>
        <w:t xml:space="preserve"> y aprobado por</w:t>
      </w:r>
      <w:r w:rsidR="00BB777A" w:rsidRPr="007A7A4F">
        <w:rPr>
          <w:rFonts w:ascii="Arial" w:hAnsi="Arial" w:cs="Arial"/>
          <w:i/>
          <w:iCs/>
        </w:rPr>
        <w:t xml:space="preserve"> el Ente de Control; la O.C.I.G</w:t>
      </w:r>
      <w:r w:rsidR="00E1457C" w:rsidRPr="007A7A4F">
        <w:rPr>
          <w:rFonts w:ascii="Arial" w:hAnsi="Arial" w:cs="Arial"/>
          <w:i/>
          <w:iCs/>
        </w:rPr>
        <w:t xml:space="preserve"> de la ESE HSJG</w:t>
      </w:r>
      <w:r w:rsidR="00BB777A" w:rsidRPr="007A7A4F">
        <w:rPr>
          <w:rFonts w:ascii="Arial" w:hAnsi="Arial" w:cs="Arial"/>
          <w:i/>
          <w:iCs/>
        </w:rPr>
        <w:t>, procede a recomendar</w:t>
      </w:r>
      <w:r w:rsidR="00E1457C" w:rsidRPr="007A7A4F">
        <w:rPr>
          <w:rFonts w:ascii="Arial" w:hAnsi="Arial" w:cs="Arial"/>
          <w:i/>
          <w:iCs/>
        </w:rPr>
        <w:t xml:space="preserve"> la necesidad de proceder en el marco del </w:t>
      </w:r>
      <w:r w:rsidR="00E43978" w:rsidRPr="007A7A4F">
        <w:rPr>
          <w:rFonts w:ascii="Arial" w:hAnsi="Arial" w:cs="Arial"/>
          <w:i/>
          <w:iCs/>
        </w:rPr>
        <w:t>C</w:t>
      </w:r>
      <w:r w:rsidR="00E1457C" w:rsidRPr="007A7A4F">
        <w:rPr>
          <w:rFonts w:ascii="Arial" w:hAnsi="Arial" w:cs="Arial"/>
          <w:i/>
          <w:iCs/>
        </w:rPr>
        <w:t>omité de Conciliación y  Defensa Judicial</w:t>
      </w:r>
      <w:r w:rsidR="00A22665" w:rsidRPr="007A7A4F">
        <w:rPr>
          <w:rFonts w:ascii="Arial" w:hAnsi="Arial" w:cs="Arial"/>
          <w:i/>
          <w:iCs/>
        </w:rPr>
        <w:t xml:space="preserve"> y de conformidad al marco legal del que son responsables los miembros del Comité;</w:t>
      </w:r>
      <w:r w:rsidR="00E1457C" w:rsidRPr="007A7A4F">
        <w:rPr>
          <w:rFonts w:ascii="Arial" w:hAnsi="Arial" w:cs="Arial"/>
          <w:i/>
          <w:iCs/>
        </w:rPr>
        <w:t xml:space="preserve"> </w:t>
      </w:r>
      <w:r w:rsidR="00A22665" w:rsidRPr="007A7A4F">
        <w:rPr>
          <w:rFonts w:ascii="Arial" w:hAnsi="Arial" w:cs="Arial"/>
          <w:i/>
          <w:iCs/>
        </w:rPr>
        <w:t xml:space="preserve">efectuar </w:t>
      </w:r>
      <w:r w:rsidR="00DB1797" w:rsidRPr="007A7A4F">
        <w:rPr>
          <w:rFonts w:ascii="Arial" w:hAnsi="Arial" w:cs="Arial"/>
          <w:i/>
          <w:iCs/>
        </w:rPr>
        <w:t xml:space="preserve">de manera proactiva </w:t>
      </w:r>
      <w:r w:rsidR="00E1457C" w:rsidRPr="007A7A4F">
        <w:rPr>
          <w:rFonts w:ascii="Arial" w:hAnsi="Arial" w:cs="Arial"/>
          <w:i/>
          <w:iCs/>
        </w:rPr>
        <w:t>acciones y gestiones que den alcance al</w:t>
      </w:r>
      <w:r w:rsidR="00DB1797" w:rsidRPr="007A7A4F">
        <w:rPr>
          <w:rFonts w:ascii="Arial" w:hAnsi="Arial" w:cs="Arial"/>
          <w:i/>
          <w:iCs/>
        </w:rPr>
        <w:t xml:space="preserve"> cumplimiento de lo señalado en el</w:t>
      </w:r>
      <w:r w:rsidR="00E1457C" w:rsidRPr="007A7A4F">
        <w:rPr>
          <w:rFonts w:ascii="Arial" w:hAnsi="Arial" w:cs="Arial"/>
          <w:i/>
          <w:iCs/>
        </w:rPr>
        <w:t xml:space="preserve"> </w:t>
      </w:r>
      <w:r w:rsidR="00F55CC3" w:rsidRPr="007A7A4F">
        <w:rPr>
          <w:rFonts w:ascii="Arial" w:hAnsi="Arial" w:cs="Arial"/>
          <w:i/>
          <w:iCs/>
        </w:rPr>
        <w:t xml:space="preserve">argumento </w:t>
      </w:r>
      <w:r w:rsidR="00A22665" w:rsidRPr="007A7A4F">
        <w:rPr>
          <w:rFonts w:ascii="Arial" w:hAnsi="Arial" w:cs="Arial"/>
          <w:i/>
          <w:iCs/>
        </w:rPr>
        <w:t xml:space="preserve">jurídico </w:t>
      </w:r>
      <w:r w:rsidR="00DB1797" w:rsidRPr="007A7A4F">
        <w:rPr>
          <w:rFonts w:ascii="Arial" w:hAnsi="Arial" w:cs="Arial"/>
          <w:i/>
          <w:iCs/>
        </w:rPr>
        <w:t xml:space="preserve">que fundamento </w:t>
      </w:r>
      <w:r w:rsidR="004C11F3" w:rsidRPr="007A7A4F">
        <w:rPr>
          <w:rFonts w:ascii="Arial" w:hAnsi="Arial" w:cs="Arial"/>
          <w:i/>
          <w:iCs/>
        </w:rPr>
        <w:t xml:space="preserve">y motivo el hallazgo </w:t>
      </w:r>
      <w:r w:rsidR="00DB1797" w:rsidRPr="007A7A4F">
        <w:rPr>
          <w:rFonts w:ascii="Arial" w:hAnsi="Arial" w:cs="Arial"/>
          <w:i/>
          <w:iCs/>
        </w:rPr>
        <w:t>el e</w:t>
      </w:r>
      <w:r w:rsidR="00F55CC3" w:rsidRPr="007A7A4F">
        <w:rPr>
          <w:rFonts w:ascii="Arial" w:hAnsi="Arial" w:cs="Arial"/>
          <w:i/>
          <w:iCs/>
        </w:rPr>
        <w:t>nte de control</w:t>
      </w:r>
      <w:r w:rsidR="00DB1797" w:rsidRPr="007A7A4F">
        <w:rPr>
          <w:rFonts w:ascii="Arial" w:hAnsi="Arial" w:cs="Arial"/>
          <w:i/>
          <w:iCs/>
        </w:rPr>
        <w:t xml:space="preserve"> </w:t>
      </w:r>
      <w:r w:rsidR="00F55CC3" w:rsidRPr="007A7A4F">
        <w:rPr>
          <w:rFonts w:ascii="Arial" w:hAnsi="Arial" w:cs="Arial"/>
          <w:i/>
          <w:iCs/>
        </w:rPr>
        <w:t xml:space="preserve">sobre </w:t>
      </w:r>
      <w:r w:rsidR="00DB1797" w:rsidRPr="007A7A4F">
        <w:rPr>
          <w:rFonts w:ascii="Arial" w:hAnsi="Arial" w:cs="Arial"/>
          <w:i/>
          <w:iCs/>
        </w:rPr>
        <w:t xml:space="preserve">este </w:t>
      </w:r>
      <w:r w:rsidR="00F55CC3" w:rsidRPr="007A7A4F">
        <w:rPr>
          <w:rFonts w:ascii="Arial" w:hAnsi="Arial" w:cs="Arial"/>
          <w:i/>
          <w:iCs/>
        </w:rPr>
        <w:t>particular, esto es</w:t>
      </w:r>
      <w:r w:rsidR="00596886" w:rsidRPr="007A7A4F">
        <w:rPr>
          <w:rFonts w:ascii="Arial" w:hAnsi="Arial" w:cs="Arial"/>
          <w:i/>
          <w:iCs/>
        </w:rPr>
        <w:t>:</w:t>
      </w:r>
    </w:p>
    <w:p w14:paraId="34184B2C" w14:textId="77777777" w:rsidR="00CC2400" w:rsidRPr="007A7A4F" w:rsidRDefault="00596886" w:rsidP="00596886">
      <w:pPr>
        <w:pStyle w:val="Prrafodelista"/>
        <w:numPr>
          <w:ilvl w:val="0"/>
          <w:numId w:val="26"/>
        </w:numPr>
        <w:jc w:val="both"/>
        <w:rPr>
          <w:rFonts w:ascii="Arial" w:hAnsi="Arial" w:cs="Arial"/>
          <w:i/>
          <w:iCs/>
        </w:rPr>
      </w:pPr>
      <w:r w:rsidRPr="007A7A4F">
        <w:rPr>
          <w:rFonts w:ascii="Arial" w:hAnsi="Arial" w:cs="Arial"/>
          <w:i/>
          <w:iCs/>
        </w:rPr>
        <w:t>C</w:t>
      </w:r>
      <w:r w:rsidR="00F55CC3" w:rsidRPr="007A7A4F">
        <w:rPr>
          <w:rFonts w:ascii="Arial" w:hAnsi="Arial" w:cs="Arial"/>
          <w:i/>
          <w:iCs/>
        </w:rPr>
        <w:t>umplimiento</w:t>
      </w:r>
      <w:r w:rsidRPr="007A7A4F">
        <w:rPr>
          <w:rFonts w:ascii="Arial" w:hAnsi="Arial" w:cs="Arial"/>
          <w:i/>
          <w:iCs/>
        </w:rPr>
        <w:t xml:space="preserve"> </w:t>
      </w:r>
      <w:r w:rsidR="00F55CC3" w:rsidRPr="007A7A4F">
        <w:rPr>
          <w:rFonts w:ascii="Arial" w:hAnsi="Arial" w:cs="Arial"/>
          <w:i/>
          <w:iCs/>
        </w:rPr>
        <w:t xml:space="preserve">al Art. 192 de </w:t>
      </w:r>
      <w:r w:rsidR="009D1857" w:rsidRPr="007A7A4F">
        <w:rPr>
          <w:rFonts w:ascii="Arial" w:hAnsi="Arial" w:cs="Arial"/>
          <w:i/>
          <w:iCs/>
        </w:rPr>
        <w:t>la Ley 1437 de 2011</w:t>
      </w:r>
      <w:r w:rsidR="00680CAB" w:rsidRPr="007A7A4F">
        <w:rPr>
          <w:rFonts w:ascii="Arial" w:hAnsi="Arial" w:cs="Arial"/>
          <w:i/>
          <w:iCs/>
        </w:rPr>
        <w:t xml:space="preserve"> </w:t>
      </w:r>
      <w:proofErr w:type="gramStart"/>
      <w:r w:rsidR="00CC2400" w:rsidRPr="007A7A4F">
        <w:rPr>
          <w:rFonts w:ascii="Arial" w:hAnsi="Arial" w:cs="Arial"/>
          <w:i/>
          <w:iCs/>
        </w:rPr>
        <w:t>…”Las</w:t>
      </w:r>
      <w:proofErr w:type="gramEnd"/>
      <w:r w:rsidR="00CC2400" w:rsidRPr="007A7A4F">
        <w:rPr>
          <w:rFonts w:ascii="Arial" w:hAnsi="Arial" w:cs="Arial"/>
          <w:i/>
          <w:iCs/>
        </w:rPr>
        <w:t xml:space="preserve"> condenas impuestas a entidades públicas consistentes en el pago o devolución de una suma de dinero serán cumplidas en un plazo máximo de diez (10) meses, contados a partir de la fecha de la ejecutoria de la sentencia. Para tal efecto, el beneficiario deberá presentar la solicitud de pago correspondiente a la entidad obligada” … </w:t>
      </w:r>
    </w:p>
    <w:p w14:paraId="1E690C5B" w14:textId="7AF56D0F" w:rsidR="00CC2400" w:rsidRPr="007A7A4F" w:rsidRDefault="00CC2400" w:rsidP="002B3D57">
      <w:pPr>
        <w:pStyle w:val="Prrafodelista"/>
        <w:ind w:left="1140"/>
        <w:jc w:val="both"/>
        <w:rPr>
          <w:rFonts w:ascii="Arial" w:hAnsi="Arial" w:cs="Arial"/>
          <w:i/>
          <w:iCs/>
        </w:rPr>
      </w:pPr>
    </w:p>
    <w:p w14:paraId="7FB13408" w14:textId="1625AA98" w:rsidR="00823FD9" w:rsidRPr="007A7A4F" w:rsidRDefault="00823FD9" w:rsidP="00823FD9">
      <w:pPr>
        <w:pStyle w:val="Prrafodelista"/>
        <w:numPr>
          <w:ilvl w:val="0"/>
          <w:numId w:val="26"/>
        </w:numPr>
        <w:jc w:val="both"/>
        <w:rPr>
          <w:rFonts w:ascii="Arial" w:hAnsi="Arial" w:cs="Arial"/>
          <w:i/>
          <w:iCs/>
        </w:rPr>
      </w:pPr>
      <w:r w:rsidRPr="007A7A4F">
        <w:rPr>
          <w:rFonts w:ascii="Arial" w:hAnsi="Arial" w:cs="Arial"/>
          <w:i/>
          <w:iCs/>
        </w:rPr>
        <w:t>Tener presente que el Art. 42 de la Ley 2195 de 2022</w:t>
      </w:r>
      <w:r w:rsidR="00E43978" w:rsidRPr="007A7A4F">
        <w:rPr>
          <w:rFonts w:ascii="Arial" w:hAnsi="Arial" w:cs="Arial"/>
          <w:i/>
          <w:iCs/>
        </w:rPr>
        <w:t>,</w:t>
      </w:r>
      <w:r w:rsidRPr="007A7A4F">
        <w:rPr>
          <w:rFonts w:ascii="Arial" w:hAnsi="Arial" w:cs="Arial"/>
          <w:i/>
          <w:iCs/>
        </w:rPr>
        <w:t xml:space="preserve"> amplio el plazo de vencimiento de caducidad a para la acción de repetición a cinco (5) años contados a partir del día siguiente de la fecha del pago, o, a más tardar desde el vencimiento del plazo con que cuenta la administración para el pago de condenas de conformidad con lo previsto en el Artículo 192 del Código de Procedimiento Administrativo y de lo Contencioso Administrativo. </w:t>
      </w:r>
    </w:p>
    <w:p w14:paraId="068E5F01" w14:textId="77777777" w:rsidR="00AE1DA2" w:rsidRPr="007A7A4F" w:rsidRDefault="00AE1DA2" w:rsidP="00AE1DA2">
      <w:pPr>
        <w:pStyle w:val="Prrafodelista"/>
        <w:rPr>
          <w:rFonts w:ascii="Arial" w:hAnsi="Arial" w:cs="Arial"/>
          <w:i/>
          <w:iCs/>
        </w:rPr>
      </w:pPr>
    </w:p>
    <w:p w14:paraId="760A5C93" w14:textId="57FEAFFE" w:rsidR="00AE1DA2" w:rsidRPr="007A7A4F" w:rsidRDefault="00AE1DA2" w:rsidP="00823FD9">
      <w:pPr>
        <w:pStyle w:val="Prrafodelista"/>
        <w:numPr>
          <w:ilvl w:val="0"/>
          <w:numId w:val="26"/>
        </w:numPr>
        <w:jc w:val="both"/>
        <w:rPr>
          <w:rFonts w:ascii="Arial" w:hAnsi="Arial" w:cs="Arial"/>
          <w:i/>
          <w:iCs/>
        </w:rPr>
      </w:pPr>
      <w:r w:rsidRPr="007A7A4F">
        <w:rPr>
          <w:rFonts w:ascii="Arial" w:hAnsi="Arial" w:cs="Arial"/>
          <w:i/>
          <w:iCs/>
        </w:rPr>
        <w:t>En las siguientes imágenes extraídas de la (Guía práctica para el mejor ejercicio de la acción de repetición y de la utilización del llamamiento en garantía con fines de repetición en las entidades públicas)</w:t>
      </w:r>
      <w:r w:rsidR="007B323F" w:rsidRPr="007A7A4F">
        <w:rPr>
          <w:rFonts w:ascii="Arial" w:hAnsi="Arial" w:cs="Arial"/>
          <w:i/>
          <w:iCs/>
        </w:rPr>
        <w:t xml:space="preserve"> de la Agencia Nacional de Defensa </w:t>
      </w:r>
      <w:r w:rsidR="007B323F" w:rsidRPr="007A7A4F">
        <w:rPr>
          <w:rFonts w:ascii="Arial" w:hAnsi="Arial" w:cs="Arial"/>
          <w:i/>
          <w:iCs/>
        </w:rPr>
        <w:lastRenderedPageBreak/>
        <w:t>Jurídica del Estado.</w:t>
      </w:r>
      <w:r w:rsidRPr="007A7A4F">
        <w:rPr>
          <w:rFonts w:ascii="Arial" w:hAnsi="Arial" w:cs="Arial"/>
          <w:i/>
          <w:iCs/>
        </w:rPr>
        <w:t xml:space="preserve">, ilustraremos los términos de caducidad para los casos que aplique, esto es, antes de la entrada en vigencia de la Ley 2195 de 2022, de lo cual se recomienda sea de conocimiento y aplicabilidad en </w:t>
      </w:r>
      <w:r w:rsidR="007B323F" w:rsidRPr="007A7A4F">
        <w:rPr>
          <w:rFonts w:ascii="Arial" w:hAnsi="Arial" w:cs="Arial"/>
          <w:i/>
          <w:iCs/>
        </w:rPr>
        <w:t>él</w:t>
      </w:r>
      <w:r w:rsidRPr="007A7A4F">
        <w:rPr>
          <w:rFonts w:ascii="Arial" w:hAnsi="Arial" w:cs="Arial"/>
          <w:i/>
          <w:iCs/>
        </w:rPr>
        <w:t xml:space="preserve"> y por los miembros del Comité,</w:t>
      </w:r>
    </w:p>
    <w:p w14:paraId="022AC6C8" w14:textId="77777777" w:rsidR="00767F34" w:rsidRDefault="00767F34" w:rsidP="00D220E2">
      <w:pPr>
        <w:pStyle w:val="Prrafodelista"/>
        <w:rPr>
          <w:rFonts w:ascii="Arial" w:hAnsi="Arial" w:cs="Arial"/>
          <w:sz w:val="18"/>
          <w:szCs w:val="18"/>
        </w:rPr>
      </w:pPr>
    </w:p>
    <w:p w14:paraId="2ABAC37F" w14:textId="4B235AE1" w:rsidR="00D220E2" w:rsidRDefault="00D220E2" w:rsidP="00D220E2">
      <w:pPr>
        <w:pStyle w:val="Prrafodelista"/>
        <w:rPr>
          <w:rFonts w:ascii="Arial" w:hAnsi="Arial" w:cs="Arial"/>
          <w:sz w:val="18"/>
          <w:szCs w:val="18"/>
        </w:rPr>
      </w:pPr>
      <w:r>
        <w:rPr>
          <w:noProof/>
        </w:rPr>
        <w:drawing>
          <wp:anchor distT="0" distB="0" distL="114300" distR="114300" simplePos="0" relativeHeight="251659264" behindDoc="0" locked="0" layoutInCell="1" allowOverlap="1" wp14:anchorId="19B0EAAA" wp14:editId="66676EC1">
            <wp:simplePos x="0" y="0"/>
            <wp:positionH relativeFrom="margin">
              <wp:posOffset>287020</wp:posOffset>
            </wp:positionH>
            <wp:positionV relativeFrom="paragraph">
              <wp:posOffset>202565</wp:posOffset>
            </wp:positionV>
            <wp:extent cx="5572125" cy="4182110"/>
            <wp:effectExtent l="0" t="0" r="9525" b="8890"/>
            <wp:wrapThrough wrapText="bothSides">
              <wp:wrapPolygon edited="0">
                <wp:start x="0" y="0"/>
                <wp:lineTo x="0" y="21548"/>
                <wp:lineTo x="21563" y="21548"/>
                <wp:lineTo x="21563" y="0"/>
                <wp:lineTo x="0" y="0"/>
              </wp:wrapPolygon>
            </wp:wrapThrough>
            <wp:docPr id="1301370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70583" name=""/>
                    <pic:cNvPicPr/>
                  </pic:nvPicPr>
                  <pic:blipFill rotWithShape="1">
                    <a:blip r:embed="rId9">
                      <a:extLst>
                        <a:ext uri="{28A0092B-C50C-407E-A947-70E740481C1C}">
                          <a14:useLocalDpi xmlns:a14="http://schemas.microsoft.com/office/drawing/2010/main" val="0"/>
                        </a:ext>
                      </a:extLst>
                    </a:blip>
                    <a:srcRect l="21825" t="14409" r="18320" b="14722"/>
                    <a:stretch/>
                  </pic:blipFill>
                  <pic:spPr bwMode="auto">
                    <a:xfrm>
                      <a:off x="0" y="0"/>
                      <a:ext cx="5572125" cy="418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 xml:space="preserve">Imagen No. </w:t>
      </w:r>
      <w:r w:rsidR="00767F34">
        <w:rPr>
          <w:rFonts w:ascii="Arial" w:hAnsi="Arial" w:cs="Arial"/>
          <w:sz w:val="18"/>
          <w:szCs w:val="18"/>
        </w:rPr>
        <w:t xml:space="preserve">2 Términos de Caducidad de Acuerdo al CCA y CPACA </w:t>
      </w:r>
    </w:p>
    <w:p w14:paraId="6ADE92CC" w14:textId="481B4FFC" w:rsidR="00D220E2" w:rsidRPr="00767F34" w:rsidRDefault="00D220E2" w:rsidP="00D220E2">
      <w:pPr>
        <w:pStyle w:val="Prrafodelista"/>
        <w:rPr>
          <w:rFonts w:ascii="Arial" w:hAnsi="Arial" w:cs="Arial"/>
          <w:sz w:val="16"/>
          <w:szCs w:val="16"/>
        </w:rPr>
      </w:pPr>
      <w:r w:rsidRPr="00767F34">
        <w:rPr>
          <w:rFonts w:ascii="Arial" w:hAnsi="Arial" w:cs="Arial"/>
          <w:sz w:val="16"/>
          <w:szCs w:val="16"/>
        </w:rPr>
        <w:t xml:space="preserve">Fuente: Agencia Nacional de Defensa Jurídica del Estado. </w:t>
      </w:r>
    </w:p>
    <w:p w14:paraId="23BE8B51" w14:textId="11EC3E9F" w:rsidR="00767F34" w:rsidRDefault="00767F34" w:rsidP="00D220E2">
      <w:pPr>
        <w:pStyle w:val="Prrafodelista"/>
        <w:rPr>
          <w:rFonts w:ascii="Arial" w:hAnsi="Arial" w:cs="Arial"/>
          <w:sz w:val="18"/>
          <w:szCs w:val="18"/>
        </w:rPr>
      </w:pPr>
    </w:p>
    <w:p w14:paraId="3F96201D" w14:textId="0E49A444" w:rsidR="00D220E2" w:rsidRPr="00767F34" w:rsidRDefault="00767F34" w:rsidP="00767F34">
      <w:pPr>
        <w:pStyle w:val="Prrafodelista"/>
        <w:rPr>
          <w:rFonts w:ascii="Arial" w:hAnsi="Arial" w:cs="Arial"/>
          <w:sz w:val="16"/>
          <w:szCs w:val="16"/>
        </w:rPr>
      </w:pPr>
      <w:r w:rsidRPr="00767F34">
        <w:rPr>
          <w:noProof/>
          <w:sz w:val="16"/>
          <w:szCs w:val="16"/>
        </w:rPr>
        <w:lastRenderedPageBreak/>
        <w:drawing>
          <wp:anchor distT="0" distB="0" distL="114300" distR="114300" simplePos="0" relativeHeight="251660288" behindDoc="0" locked="0" layoutInCell="1" allowOverlap="1" wp14:anchorId="43AF951F" wp14:editId="562D065E">
            <wp:simplePos x="0" y="0"/>
            <wp:positionH relativeFrom="margin">
              <wp:posOffset>-192405</wp:posOffset>
            </wp:positionH>
            <wp:positionV relativeFrom="paragraph">
              <wp:posOffset>186690</wp:posOffset>
            </wp:positionV>
            <wp:extent cx="6278245" cy="4514215"/>
            <wp:effectExtent l="0" t="0" r="8255" b="635"/>
            <wp:wrapThrough wrapText="bothSides">
              <wp:wrapPolygon edited="0">
                <wp:start x="0" y="0"/>
                <wp:lineTo x="0" y="21512"/>
                <wp:lineTo x="21563" y="21512"/>
                <wp:lineTo x="21563" y="0"/>
                <wp:lineTo x="0" y="0"/>
              </wp:wrapPolygon>
            </wp:wrapThrough>
            <wp:docPr id="1892619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19748" name=""/>
                    <pic:cNvPicPr/>
                  </pic:nvPicPr>
                  <pic:blipFill rotWithShape="1">
                    <a:blip r:embed="rId10">
                      <a:extLst>
                        <a:ext uri="{28A0092B-C50C-407E-A947-70E740481C1C}">
                          <a14:useLocalDpi xmlns:a14="http://schemas.microsoft.com/office/drawing/2010/main" val="0"/>
                        </a:ext>
                      </a:extLst>
                    </a:blip>
                    <a:srcRect l="22321" t="17023" r="18981" b="7665"/>
                    <a:stretch/>
                  </pic:blipFill>
                  <pic:spPr bwMode="auto">
                    <a:xfrm>
                      <a:off x="0" y="0"/>
                      <a:ext cx="6278245" cy="451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0E2" w:rsidRPr="00767F34">
        <w:rPr>
          <w:rFonts w:ascii="Arial" w:hAnsi="Arial" w:cs="Arial"/>
          <w:sz w:val="16"/>
          <w:szCs w:val="16"/>
        </w:rPr>
        <w:t>Imagen No.</w:t>
      </w:r>
      <w:r w:rsidRPr="00767F34">
        <w:rPr>
          <w:rFonts w:ascii="Arial" w:hAnsi="Arial" w:cs="Arial"/>
          <w:sz w:val="16"/>
          <w:szCs w:val="16"/>
        </w:rPr>
        <w:t xml:space="preserve"> </w:t>
      </w:r>
      <w:r w:rsidR="00E43978" w:rsidRPr="00767F34">
        <w:rPr>
          <w:rFonts w:ascii="Arial" w:hAnsi="Arial" w:cs="Arial"/>
          <w:sz w:val="16"/>
          <w:szCs w:val="16"/>
        </w:rPr>
        <w:t>3</w:t>
      </w:r>
      <w:r w:rsidR="00E43978">
        <w:rPr>
          <w:rFonts w:ascii="Arial" w:hAnsi="Arial" w:cs="Arial"/>
          <w:sz w:val="16"/>
          <w:szCs w:val="16"/>
        </w:rPr>
        <w:t>.</w:t>
      </w:r>
      <w:r w:rsidR="00E43978" w:rsidRPr="00767F34">
        <w:rPr>
          <w:rFonts w:ascii="Arial" w:hAnsi="Arial" w:cs="Arial"/>
          <w:sz w:val="16"/>
          <w:szCs w:val="16"/>
        </w:rPr>
        <w:t xml:space="preserve"> Términos</w:t>
      </w:r>
      <w:r w:rsidRPr="00767F34">
        <w:rPr>
          <w:rFonts w:ascii="Arial" w:hAnsi="Arial" w:cs="Arial"/>
          <w:sz w:val="16"/>
          <w:szCs w:val="16"/>
        </w:rPr>
        <w:t xml:space="preserve"> de Caducidad de Acuerdo al CCA y CPACA </w:t>
      </w:r>
    </w:p>
    <w:p w14:paraId="3B74BAA0" w14:textId="605E14C1" w:rsidR="00767F34" w:rsidRDefault="00D220E2" w:rsidP="00B961FB">
      <w:pPr>
        <w:jc w:val="both"/>
        <w:rPr>
          <w:rFonts w:ascii="Arial" w:hAnsi="Arial" w:cs="Arial"/>
          <w:sz w:val="16"/>
          <w:szCs w:val="16"/>
        </w:rPr>
      </w:pPr>
      <w:r w:rsidRPr="00767F34">
        <w:rPr>
          <w:rFonts w:ascii="Arial" w:hAnsi="Arial" w:cs="Arial"/>
          <w:sz w:val="16"/>
          <w:szCs w:val="16"/>
        </w:rPr>
        <w:t>Fuente: Agencia Nacional de Defensa Jurídica del Estado.</w:t>
      </w:r>
    </w:p>
    <w:p w14:paraId="37156920" w14:textId="77777777" w:rsidR="002066F2" w:rsidRPr="002066F2" w:rsidRDefault="002066F2" w:rsidP="00B961FB">
      <w:pPr>
        <w:jc w:val="both"/>
        <w:rPr>
          <w:rFonts w:ascii="Arial" w:hAnsi="Arial" w:cs="Arial"/>
          <w:sz w:val="16"/>
          <w:szCs w:val="16"/>
        </w:rPr>
      </w:pPr>
    </w:p>
    <w:p w14:paraId="3B3E95CE" w14:textId="6F1B3CEE" w:rsidR="009E1BCF" w:rsidRPr="009E1BCF" w:rsidRDefault="00707C9D" w:rsidP="009E1BCF">
      <w:pPr>
        <w:numPr>
          <w:ilvl w:val="0"/>
          <w:numId w:val="8"/>
        </w:numPr>
        <w:jc w:val="both"/>
        <w:rPr>
          <w:rFonts w:ascii="Arial" w:hAnsi="Arial" w:cs="Arial"/>
        </w:rPr>
      </w:pPr>
      <w:r w:rsidRPr="00707C9D">
        <w:rPr>
          <w:rFonts w:ascii="Arial" w:hAnsi="Arial" w:cs="Arial"/>
          <w:b/>
        </w:rPr>
        <w:t>Periodicidad de las reuniones del Comité (Art. 2.2.4.3.1.2.4 Decreto. 1069 de 2015</w:t>
      </w:r>
      <w:r w:rsidRPr="001163A1">
        <w:rPr>
          <w:rFonts w:ascii="Arial" w:hAnsi="Arial" w:cs="Arial"/>
        </w:rPr>
        <w:t>).</w:t>
      </w:r>
    </w:p>
    <w:p w14:paraId="267FDFE7" w14:textId="77777777" w:rsidR="009E1BCF" w:rsidRDefault="00904439" w:rsidP="0080496C">
      <w:pPr>
        <w:jc w:val="both"/>
        <w:rPr>
          <w:rFonts w:ascii="Arial" w:hAnsi="Arial" w:cs="Arial"/>
          <w:i/>
        </w:rPr>
      </w:pPr>
      <w:r w:rsidRPr="001163A1">
        <w:rPr>
          <w:rFonts w:ascii="Arial" w:hAnsi="Arial" w:cs="Arial"/>
        </w:rPr>
        <w:t>Se establece en el artículo 2.2.4.3.</w:t>
      </w:r>
      <w:r w:rsidR="00614D55">
        <w:rPr>
          <w:rFonts w:ascii="Arial" w:hAnsi="Arial" w:cs="Arial"/>
        </w:rPr>
        <w:t xml:space="preserve">1.2.4. </w:t>
      </w:r>
      <w:r w:rsidR="004D6517">
        <w:rPr>
          <w:rFonts w:ascii="Arial" w:hAnsi="Arial" w:cs="Arial"/>
        </w:rPr>
        <w:t>Del</w:t>
      </w:r>
      <w:r w:rsidR="00364D25">
        <w:rPr>
          <w:rFonts w:ascii="Arial" w:hAnsi="Arial" w:cs="Arial"/>
        </w:rPr>
        <w:t xml:space="preserve"> Decreto 1069 de 2015;</w:t>
      </w:r>
      <w:r w:rsidR="00614D55">
        <w:rPr>
          <w:rFonts w:ascii="Arial" w:hAnsi="Arial" w:cs="Arial"/>
        </w:rPr>
        <w:t xml:space="preserve"> </w:t>
      </w:r>
      <w:r w:rsidR="00614D55" w:rsidRPr="00550D5A">
        <w:rPr>
          <w:rFonts w:ascii="Century Gothic" w:hAnsi="Century Gothic" w:cs="Arial"/>
          <w:color w:val="1F1F21"/>
          <w:sz w:val="20"/>
          <w:szCs w:val="20"/>
        </w:rPr>
        <w:t>Resolución No 039</w:t>
      </w:r>
      <w:r w:rsidR="00614D55">
        <w:rPr>
          <w:rFonts w:ascii="Century Gothic" w:hAnsi="Century Gothic" w:cs="Arial"/>
          <w:color w:val="1F1F21"/>
          <w:sz w:val="20"/>
          <w:szCs w:val="20"/>
        </w:rPr>
        <w:t xml:space="preserve">0 de fecha 29 de abril de 2019 y la </w:t>
      </w:r>
      <w:r w:rsidR="00614D55" w:rsidRPr="00550D5A">
        <w:rPr>
          <w:rFonts w:ascii="Century Gothic" w:hAnsi="Century Gothic" w:cs="Arial"/>
          <w:color w:val="1F1F21"/>
          <w:sz w:val="20"/>
          <w:szCs w:val="20"/>
        </w:rPr>
        <w:t>Resolución 1</w:t>
      </w:r>
      <w:r w:rsidR="00614D55">
        <w:rPr>
          <w:rFonts w:ascii="Century Gothic" w:hAnsi="Century Gothic" w:cs="Arial"/>
          <w:color w:val="1F1F21"/>
          <w:sz w:val="20"/>
          <w:szCs w:val="20"/>
        </w:rPr>
        <w:t>64</w:t>
      </w:r>
      <w:r w:rsidR="00614D55" w:rsidRPr="00550D5A">
        <w:rPr>
          <w:rFonts w:ascii="Century Gothic" w:hAnsi="Century Gothic" w:cs="Arial"/>
          <w:color w:val="1F1F21"/>
          <w:sz w:val="20"/>
          <w:szCs w:val="20"/>
        </w:rPr>
        <w:t xml:space="preserve"> de 19 de febrero de 2019,</w:t>
      </w:r>
      <w:r w:rsidRPr="001163A1">
        <w:rPr>
          <w:rFonts w:ascii="Arial" w:hAnsi="Arial" w:cs="Arial"/>
        </w:rPr>
        <w:t xml:space="preserve"> la periodicidad de las reuniones del Comité de Conciliación, en la cual señala que </w:t>
      </w:r>
      <w:r w:rsidRPr="001163A1">
        <w:rPr>
          <w:rFonts w:ascii="Arial" w:hAnsi="Arial" w:cs="Arial"/>
          <w:i/>
        </w:rPr>
        <w:t>“se reunirá no menos de dos veces al mes, y cuando las circunstancias lo exijan”</w:t>
      </w:r>
      <w:r w:rsidR="009E1BCF">
        <w:rPr>
          <w:rFonts w:ascii="Arial" w:hAnsi="Arial" w:cs="Arial"/>
          <w:i/>
        </w:rPr>
        <w:t xml:space="preserve">. </w:t>
      </w:r>
    </w:p>
    <w:p w14:paraId="7DFE4384" w14:textId="0336E08F" w:rsidR="009E1BCF" w:rsidRPr="009E1BCF" w:rsidRDefault="009E1BCF" w:rsidP="0080496C">
      <w:pPr>
        <w:jc w:val="both"/>
        <w:rPr>
          <w:rFonts w:ascii="Arial" w:hAnsi="Arial" w:cs="Arial"/>
          <w:iCs/>
        </w:rPr>
      </w:pPr>
      <w:r>
        <w:rPr>
          <w:rFonts w:ascii="Arial" w:hAnsi="Arial" w:cs="Arial"/>
          <w:iCs/>
        </w:rPr>
        <w:t xml:space="preserve">Para este punto como también para los puntos C y D </w:t>
      </w:r>
    </w:p>
    <w:p w14:paraId="02FD71B9" w14:textId="54C12876" w:rsidR="009E1BCF" w:rsidRPr="009E1BCF" w:rsidRDefault="009E1BCF" w:rsidP="009E1BCF">
      <w:pPr>
        <w:pStyle w:val="Prrafodelista"/>
        <w:numPr>
          <w:ilvl w:val="0"/>
          <w:numId w:val="8"/>
        </w:numPr>
        <w:jc w:val="both"/>
        <w:rPr>
          <w:rFonts w:ascii="Arial" w:hAnsi="Arial" w:cs="Arial"/>
        </w:rPr>
      </w:pPr>
      <w:r w:rsidRPr="009E1BCF">
        <w:rPr>
          <w:rFonts w:ascii="Arial" w:hAnsi="Arial" w:cs="Arial"/>
        </w:rPr>
        <w:t>Funciones del Comité de Conciliación (Art. 2.2.4.3.1.2.5 Decreto. 1069 de 2015).</w:t>
      </w:r>
    </w:p>
    <w:p w14:paraId="4B4A19F9" w14:textId="7F046A9E" w:rsidR="009D7448" w:rsidRDefault="009E1BCF" w:rsidP="0080496C">
      <w:pPr>
        <w:numPr>
          <w:ilvl w:val="0"/>
          <w:numId w:val="8"/>
        </w:numPr>
        <w:jc w:val="both"/>
        <w:rPr>
          <w:rFonts w:ascii="Arial" w:hAnsi="Arial" w:cs="Arial"/>
        </w:rPr>
      </w:pPr>
      <w:r w:rsidRPr="001163A1">
        <w:rPr>
          <w:rFonts w:ascii="Arial" w:hAnsi="Arial" w:cs="Arial"/>
        </w:rPr>
        <w:t xml:space="preserve">Funciones del </w:t>
      </w:r>
      <w:proofErr w:type="gramStart"/>
      <w:r w:rsidR="004170E3">
        <w:rPr>
          <w:rFonts w:ascii="Arial" w:hAnsi="Arial" w:cs="Arial"/>
        </w:rPr>
        <w:t>S</w:t>
      </w:r>
      <w:r w:rsidRPr="001163A1">
        <w:rPr>
          <w:rFonts w:ascii="Arial" w:hAnsi="Arial" w:cs="Arial"/>
        </w:rPr>
        <w:t>ecretario</w:t>
      </w:r>
      <w:proofErr w:type="gramEnd"/>
      <w:r w:rsidRPr="001163A1">
        <w:rPr>
          <w:rFonts w:ascii="Arial" w:hAnsi="Arial" w:cs="Arial"/>
        </w:rPr>
        <w:t xml:space="preserve"> del Comité (Art. 2.2.4.3.1.2.6 Decreto. 1069 de 2015).</w:t>
      </w:r>
    </w:p>
    <w:p w14:paraId="5FE991B1" w14:textId="77777777" w:rsidR="00705850" w:rsidRDefault="009D7448" w:rsidP="009D7448">
      <w:pPr>
        <w:jc w:val="both"/>
        <w:rPr>
          <w:rFonts w:ascii="Arial" w:hAnsi="Arial" w:cs="Arial"/>
        </w:rPr>
      </w:pPr>
      <w:r>
        <w:rPr>
          <w:rFonts w:ascii="Arial" w:hAnsi="Arial" w:cs="Arial"/>
        </w:rPr>
        <w:lastRenderedPageBreak/>
        <w:t>La Oficina de Control Interno de Gestión se pronuncia en los siguientes términos</w:t>
      </w:r>
      <w:r w:rsidR="00705850">
        <w:rPr>
          <w:rFonts w:ascii="Arial" w:hAnsi="Arial" w:cs="Arial"/>
        </w:rPr>
        <w:t xml:space="preserve">: </w:t>
      </w:r>
    </w:p>
    <w:p w14:paraId="24464EB2" w14:textId="73373FE2" w:rsidR="006E17C5" w:rsidRDefault="00705850" w:rsidP="009D7448">
      <w:pPr>
        <w:jc w:val="both"/>
        <w:rPr>
          <w:rFonts w:ascii="Arial" w:hAnsi="Arial" w:cs="Arial"/>
        </w:rPr>
      </w:pPr>
      <w:r>
        <w:rPr>
          <w:rFonts w:ascii="Arial" w:hAnsi="Arial" w:cs="Arial"/>
        </w:rPr>
        <w:t>Con correo de facha 13 de enero</w:t>
      </w:r>
      <w:r w:rsidR="004170E3">
        <w:rPr>
          <w:rFonts w:ascii="Arial" w:hAnsi="Arial" w:cs="Arial"/>
        </w:rPr>
        <w:t xml:space="preserve"> de esta anualidad, </w:t>
      </w:r>
      <w:r>
        <w:rPr>
          <w:rFonts w:ascii="Arial" w:hAnsi="Arial" w:cs="Arial"/>
        </w:rPr>
        <w:t xml:space="preserve"> se solicitó toda la información requerida (Actas de Comité CDJ, Registros de asistencia, Fichas técnicas, Informe de gestión del comité y cuadro de probabilidades actualizado con corte 31/12/2024) para la verificación y emisión de informe de seguimiento al Comité de Conciliación y Defensa Judicial de la Entidad; sin embargo a la fecha de emisión del presente informe no ha sido allegada la informació</w:t>
      </w:r>
      <w:r w:rsidR="00EB797E">
        <w:rPr>
          <w:rFonts w:ascii="Arial" w:hAnsi="Arial" w:cs="Arial"/>
        </w:rPr>
        <w:t>n ni en archivos físicos n</w:t>
      </w:r>
      <w:r w:rsidR="004170E3">
        <w:rPr>
          <w:rFonts w:ascii="Arial" w:hAnsi="Arial" w:cs="Arial"/>
        </w:rPr>
        <w:t>i</w:t>
      </w:r>
      <w:r w:rsidR="00EB797E">
        <w:rPr>
          <w:rFonts w:ascii="Arial" w:hAnsi="Arial" w:cs="Arial"/>
        </w:rPr>
        <w:t xml:space="preserve"> digitales, por tanto </w:t>
      </w:r>
      <w:r w:rsidR="00694834">
        <w:rPr>
          <w:rFonts w:ascii="Arial" w:hAnsi="Arial" w:cs="Arial"/>
        </w:rPr>
        <w:t>el contenido y emisión del presente informe</w:t>
      </w:r>
      <w:r w:rsidR="00E87014">
        <w:rPr>
          <w:rFonts w:ascii="Arial" w:hAnsi="Arial" w:cs="Arial"/>
        </w:rPr>
        <w:t xml:space="preserve"> corresponde al análisis y verificación de insumos de información obtenidos en su mayoría a los registros y trazabilidad de los correos institucionales y en particular del</w:t>
      </w:r>
      <w:r w:rsidR="002066F2">
        <w:rPr>
          <w:rFonts w:ascii="Arial" w:hAnsi="Arial" w:cs="Arial"/>
        </w:rPr>
        <w:t xml:space="preserve"> correo de</w:t>
      </w:r>
      <w:r w:rsidR="00E87014">
        <w:rPr>
          <w:rFonts w:ascii="Arial" w:hAnsi="Arial" w:cs="Arial"/>
        </w:rPr>
        <w:t xml:space="preserve"> Comité de Conciliación y </w:t>
      </w:r>
      <w:r w:rsidR="002066F2">
        <w:rPr>
          <w:rFonts w:ascii="Arial" w:hAnsi="Arial" w:cs="Arial"/>
        </w:rPr>
        <w:t>D</w:t>
      </w:r>
      <w:r w:rsidR="00E87014">
        <w:rPr>
          <w:rFonts w:ascii="Arial" w:hAnsi="Arial" w:cs="Arial"/>
        </w:rPr>
        <w:t xml:space="preserve">efensa Judicial, como también lo indicado verbalmente por la Secretaria Técnica del Comité. </w:t>
      </w:r>
    </w:p>
    <w:p w14:paraId="2D91E09F" w14:textId="543DC096" w:rsidR="00F54D9F" w:rsidRDefault="00782162" w:rsidP="009D7448">
      <w:pPr>
        <w:jc w:val="both"/>
        <w:rPr>
          <w:rFonts w:ascii="Arial" w:hAnsi="Arial" w:cs="Arial"/>
        </w:rPr>
      </w:pPr>
      <w:r>
        <w:rPr>
          <w:noProof/>
        </w:rPr>
        <w:drawing>
          <wp:anchor distT="0" distB="0" distL="114300" distR="114300" simplePos="0" relativeHeight="251661312" behindDoc="0" locked="0" layoutInCell="1" allowOverlap="1" wp14:anchorId="16F43E5F" wp14:editId="063CEE1E">
            <wp:simplePos x="0" y="0"/>
            <wp:positionH relativeFrom="page">
              <wp:posOffset>1581150</wp:posOffset>
            </wp:positionH>
            <wp:positionV relativeFrom="paragraph">
              <wp:posOffset>245110</wp:posOffset>
            </wp:positionV>
            <wp:extent cx="4703445" cy="4314825"/>
            <wp:effectExtent l="0" t="0" r="1905" b="9525"/>
            <wp:wrapThrough wrapText="bothSides">
              <wp:wrapPolygon edited="0">
                <wp:start x="0" y="0"/>
                <wp:lineTo x="0" y="21552"/>
                <wp:lineTo x="21521" y="21552"/>
                <wp:lineTo x="21521" y="0"/>
                <wp:lineTo x="0" y="0"/>
              </wp:wrapPolygon>
            </wp:wrapThrough>
            <wp:docPr id="2395067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06795" name=""/>
                    <pic:cNvPicPr/>
                  </pic:nvPicPr>
                  <pic:blipFill rotWithShape="1">
                    <a:blip r:embed="rId11">
                      <a:extLst>
                        <a:ext uri="{28A0092B-C50C-407E-A947-70E740481C1C}">
                          <a14:useLocalDpi xmlns:a14="http://schemas.microsoft.com/office/drawing/2010/main" val="0"/>
                        </a:ext>
                      </a:extLst>
                    </a:blip>
                    <a:srcRect l="32132" t="10204" r="31344" b="8839"/>
                    <a:stretch/>
                  </pic:blipFill>
                  <pic:spPr bwMode="auto">
                    <a:xfrm>
                      <a:off x="0" y="0"/>
                      <a:ext cx="4703445"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D9F">
        <w:rPr>
          <w:rFonts w:ascii="Arial" w:hAnsi="Arial" w:cs="Arial"/>
        </w:rPr>
        <w:tab/>
        <w:t xml:space="preserve">Imagen No. </w:t>
      </w:r>
      <w:r w:rsidR="00DA54C9">
        <w:rPr>
          <w:rFonts w:ascii="Arial" w:hAnsi="Arial" w:cs="Arial"/>
        </w:rPr>
        <w:t>4 Correo solicitud de información.</w:t>
      </w:r>
    </w:p>
    <w:p w14:paraId="30E0C15A" w14:textId="23D5983A" w:rsidR="00285629" w:rsidRDefault="00285629" w:rsidP="009D7448">
      <w:pPr>
        <w:jc w:val="both"/>
        <w:rPr>
          <w:rFonts w:ascii="Arial" w:hAnsi="Arial" w:cs="Arial"/>
        </w:rPr>
      </w:pPr>
    </w:p>
    <w:p w14:paraId="5F8FB88E" w14:textId="77777777" w:rsidR="00F54D9F" w:rsidRDefault="00F54D9F" w:rsidP="009D7448">
      <w:pPr>
        <w:jc w:val="both"/>
        <w:rPr>
          <w:rFonts w:ascii="Arial" w:hAnsi="Arial" w:cs="Arial"/>
        </w:rPr>
      </w:pPr>
    </w:p>
    <w:p w14:paraId="73C4E8FF" w14:textId="77777777" w:rsidR="00F54D9F" w:rsidRDefault="00F54D9F" w:rsidP="009D7448">
      <w:pPr>
        <w:jc w:val="both"/>
        <w:rPr>
          <w:rFonts w:ascii="Arial" w:hAnsi="Arial" w:cs="Arial"/>
        </w:rPr>
      </w:pPr>
    </w:p>
    <w:p w14:paraId="7393F117" w14:textId="77777777" w:rsidR="00F54D9F" w:rsidRDefault="00F54D9F" w:rsidP="009D7448">
      <w:pPr>
        <w:jc w:val="both"/>
        <w:rPr>
          <w:rFonts w:ascii="Arial" w:hAnsi="Arial" w:cs="Arial"/>
        </w:rPr>
      </w:pPr>
    </w:p>
    <w:p w14:paraId="2431AFE8" w14:textId="77777777" w:rsidR="00F54D9F" w:rsidRDefault="00F54D9F" w:rsidP="009D7448">
      <w:pPr>
        <w:jc w:val="both"/>
        <w:rPr>
          <w:rFonts w:ascii="Arial" w:hAnsi="Arial" w:cs="Arial"/>
        </w:rPr>
      </w:pPr>
    </w:p>
    <w:p w14:paraId="361E6E69" w14:textId="77777777" w:rsidR="00F54D9F" w:rsidRDefault="00F54D9F" w:rsidP="009D7448">
      <w:pPr>
        <w:jc w:val="both"/>
        <w:rPr>
          <w:rFonts w:ascii="Arial" w:hAnsi="Arial" w:cs="Arial"/>
        </w:rPr>
      </w:pPr>
    </w:p>
    <w:p w14:paraId="380408C8" w14:textId="77777777" w:rsidR="00F54D9F" w:rsidRDefault="00F54D9F" w:rsidP="009D7448">
      <w:pPr>
        <w:jc w:val="both"/>
        <w:rPr>
          <w:rFonts w:ascii="Arial" w:hAnsi="Arial" w:cs="Arial"/>
        </w:rPr>
      </w:pPr>
    </w:p>
    <w:p w14:paraId="42510748" w14:textId="77777777" w:rsidR="00F54D9F" w:rsidRDefault="00F54D9F" w:rsidP="009D7448">
      <w:pPr>
        <w:jc w:val="both"/>
        <w:rPr>
          <w:rFonts w:ascii="Arial" w:hAnsi="Arial" w:cs="Arial"/>
        </w:rPr>
      </w:pPr>
    </w:p>
    <w:p w14:paraId="13150F2E" w14:textId="77777777" w:rsidR="00F54D9F" w:rsidRDefault="00F54D9F" w:rsidP="009D7448">
      <w:pPr>
        <w:jc w:val="both"/>
        <w:rPr>
          <w:rFonts w:ascii="Arial" w:hAnsi="Arial" w:cs="Arial"/>
        </w:rPr>
      </w:pPr>
    </w:p>
    <w:p w14:paraId="14C8064F" w14:textId="77777777" w:rsidR="00F54D9F" w:rsidRDefault="00F54D9F" w:rsidP="009D7448">
      <w:pPr>
        <w:jc w:val="both"/>
        <w:rPr>
          <w:rFonts w:ascii="Arial" w:hAnsi="Arial" w:cs="Arial"/>
        </w:rPr>
      </w:pPr>
    </w:p>
    <w:p w14:paraId="0E564F23" w14:textId="77777777" w:rsidR="00F54D9F" w:rsidRDefault="00F54D9F" w:rsidP="009D7448">
      <w:pPr>
        <w:jc w:val="both"/>
        <w:rPr>
          <w:rFonts w:ascii="Arial" w:hAnsi="Arial" w:cs="Arial"/>
        </w:rPr>
      </w:pPr>
    </w:p>
    <w:p w14:paraId="0503C155" w14:textId="77777777" w:rsidR="00F54D9F" w:rsidRDefault="00F54D9F" w:rsidP="009D7448">
      <w:pPr>
        <w:jc w:val="both"/>
        <w:rPr>
          <w:rFonts w:ascii="Arial" w:hAnsi="Arial" w:cs="Arial"/>
        </w:rPr>
      </w:pPr>
    </w:p>
    <w:p w14:paraId="6C9322CF" w14:textId="77777777" w:rsidR="00F54D9F" w:rsidRDefault="00F54D9F" w:rsidP="009D7448">
      <w:pPr>
        <w:jc w:val="both"/>
        <w:rPr>
          <w:rFonts w:ascii="Arial" w:hAnsi="Arial" w:cs="Arial"/>
        </w:rPr>
      </w:pPr>
    </w:p>
    <w:p w14:paraId="3D97E546" w14:textId="77777777" w:rsidR="00F54D9F" w:rsidRDefault="00F54D9F" w:rsidP="009D7448">
      <w:pPr>
        <w:jc w:val="both"/>
        <w:rPr>
          <w:rFonts w:ascii="Arial" w:hAnsi="Arial" w:cs="Arial"/>
        </w:rPr>
      </w:pPr>
    </w:p>
    <w:p w14:paraId="24862A8A" w14:textId="31CC61D3" w:rsidR="00ED7946" w:rsidRPr="004F2001" w:rsidRDefault="00285629" w:rsidP="004F2001">
      <w:pPr>
        <w:jc w:val="both"/>
        <w:rPr>
          <w:rFonts w:ascii="Arial" w:hAnsi="Arial" w:cs="Arial"/>
        </w:rPr>
      </w:pPr>
      <w:r>
        <w:rPr>
          <w:rFonts w:ascii="Arial" w:hAnsi="Arial" w:cs="Arial"/>
        </w:rPr>
        <w:t>En el siguiente cuadro se observa la trazabilidad de la gestión del comité correspondiente al II semestre 2024.</w:t>
      </w:r>
      <w:r w:rsidR="00782162">
        <w:rPr>
          <w:rFonts w:ascii="Arial" w:hAnsi="Arial" w:cs="Arial"/>
        </w:rPr>
        <w:t xml:space="preserve"> Cuadro No.2.</w:t>
      </w:r>
    </w:p>
    <w:p w14:paraId="2C5FF27E" w14:textId="77777777" w:rsidR="00ED7946" w:rsidRDefault="00ED7946" w:rsidP="00426DC3">
      <w:pPr>
        <w:spacing w:after="0" w:line="240" w:lineRule="auto"/>
        <w:jc w:val="both"/>
        <w:rPr>
          <w:rFonts w:ascii="Calibri" w:eastAsia="Times New Roman" w:hAnsi="Calibri" w:cs="Calibri"/>
          <w:b/>
          <w:bCs/>
          <w:color w:val="000000"/>
          <w:sz w:val="18"/>
          <w:szCs w:val="18"/>
          <w:lang w:eastAsia="es-CO"/>
        </w:rPr>
        <w:sectPr w:rsidR="00ED7946" w:rsidSect="005C7008">
          <w:headerReference w:type="default" r:id="rId12"/>
          <w:footerReference w:type="default" r:id="rId13"/>
          <w:pgSz w:w="12240" w:h="15840"/>
          <w:pgMar w:top="1417" w:right="1467" w:bottom="1417" w:left="1701" w:header="708" w:footer="708" w:gutter="0"/>
          <w:cols w:space="708"/>
          <w:docGrid w:linePitch="360"/>
        </w:sectPr>
      </w:pPr>
    </w:p>
    <w:tbl>
      <w:tblPr>
        <w:tblW w:w="13830" w:type="dxa"/>
        <w:tblInd w:w="-436" w:type="dxa"/>
        <w:tblCellMar>
          <w:left w:w="70" w:type="dxa"/>
          <w:right w:w="70" w:type="dxa"/>
        </w:tblCellMar>
        <w:tblLook w:val="04A0" w:firstRow="1" w:lastRow="0" w:firstColumn="1" w:lastColumn="0" w:noHBand="0" w:noVBand="1"/>
      </w:tblPr>
      <w:tblGrid>
        <w:gridCol w:w="1009"/>
        <w:gridCol w:w="1283"/>
        <w:gridCol w:w="1210"/>
        <w:gridCol w:w="1283"/>
        <w:gridCol w:w="3659"/>
        <w:gridCol w:w="3118"/>
        <w:gridCol w:w="2268"/>
      </w:tblGrid>
      <w:tr w:rsidR="00EC6227" w:rsidRPr="00EC6227" w14:paraId="4343056C" w14:textId="77777777" w:rsidTr="001774FC">
        <w:trPr>
          <w:trHeight w:val="315"/>
        </w:trPr>
        <w:tc>
          <w:tcPr>
            <w:tcW w:w="13830" w:type="dxa"/>
            <w:gridSpan w:val="7"/>
            <w:tcBorders>
              <w:top w:val="single" w:sz="8" w:space="0" w:color="auto"/>
              <w:left w:val="single" w:sz="8" w:space="0" w:color="auto"/>
              <w:bottom w:val="single" w:sz="8" w:space="0" w:color="auto"/>
              <w:right w:val="single" w:sz="8" w:space="0" w:color="000000"/>
            </w:tcBorders>
            <w:shd w:val="clear" w:color="auto" w:fill="B8CCE4" w:themeFill="accent1" w:themeFillTint="66"/>
            <w:noWrap/>
            <w:vAlign w:val="center"/>
            <w:hideMark/>
          </w:tcPr>
          <w:p w14:paraId="2C9AA1EE" w14:textId="5E74F2FB" w:rsidR="00EC6227" w:rsidRPr="00EC6227" w:rsidRDefault="00EC6227" w:rsidP="00ED7946">
            <w:pPr>
              <w:spacing w:after="0" w:line="240" w:lineRule="auto"/>
              <w:jc w:val="center"/>
              <w:rPr>
                <w:rFonts w:ascii="Times New Roman" w:eastAsia="Times New Roman" w:hAnsi="Times New Roman" w:cs="Times New Roman"/>
                <w:sz w:val="20"/>
                <w:szCs w:val="20"/>
                <w:lang w:eastAsia="es-CO"/>
              </w:rPr>
            </w:pPr>
            <w:r w:rsidRPr="00EC6227">
              <w:rPr>
                <w:rFonts w:ascii="Calibri" w:eastAsia="Times New Roman" w:hAnsi="Calibri" w:cs="Calibri"/>
                <w:b/>
                <w:bCs/>
                <w:color w:val="000000"/>
                <w:sz w:val="18"/>
                <w:szCs w:val="18"/>
                <w:lang w:eastAsia="es-CO"/>
              </w:rPr>
              <w:lastRenderedPageBreak/>
              <w:t>REGISTROS DE CORREO COMITÉ DE CONCILIACIÓN Y DEFENSA JUDICIAL</w:t>
            </w:r>
            <w:r w:rsidR="00755C29">
              <w:rPr>
                <w:rFonts w:ascii="Calibri" w:eastAsia="Times New Roman" w:hAnsi="Calibri" w:cs="Calibri"/>
                <w:b/>
                <w:bCs/>
                <w:color w:val="000000"/>
                <w:sz w:val="18"/>
                <w:szCs w:val="18"/>
                <w:lang w:eastAsia="es-CO"/>
              </w:rPr>
              <w:t xml:space="preserve"> II SEMESTRE 2024</w:t>
            </w:r>
          </w:p>
        </w:tc>
      </w:tr>
      <w:tr w:rsidR="00755C29" w:rsidRPr="00EC6227" w14:paraId="3548569F" w14:textId="77777777" w:rsidTr="001774FC">
        <w:trPr>
          <w:trHeight w:val="1080"/>
        </w:trPr>
        <w:tc>
          <w:tcPr>
            <w:tcW w:w="1009"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7D33D187" w14:textId="144179DC" w:rsidR="00EC6227" w:rsidRPr="00EC6227" w:rsidRDefault="00EC6227" w:rsidP="00ED7946">
            <w:pPr>
              <w:spacing w:after="0" w:line="240" w:lineRule="auto"/>
              <w:jc w:val="center"/>
              <w:rPr>
                <w:rFonts w:ascii="Calibri" w:eastAsia="Times New Roman" w:hAnsi="Calibri" w:cs="Calibri"/>
                <w:b/>
                <w:bCs/>
                <w:color w:val="000000"/>
                <w:sz w:val="18"/>
                <w:szCs w:val="18"/>
                <w:lang w:eastAsia="es-CO"/>
              </w:rPr>
            </w:pPr>
            <w:r w:rsidRPr="00EC6227">
              <w:rPr>
                <w:rFonts w:ascii="Calibri" w:eastAsia="Times New Roman" w:hAnsi="Calibri" w:cs="Calibri"/>
                <w:b/>
                <w:bCs/>
                <w:color w:val="000000"/>
                <w:sz w:val="18"/>
                <w:szCs w:val="18"/>
                <w:lang w:eastAsia="es-CO"/>
              </w:rPr>
              <w:t>FECHA CORREO</w:t>
            </w:r>
          </w:p>
        </w:tc>
        <w:tc>
          <w:tcPr>
            <w:tcW w:w="1283" w:type="dxa"/>
            <w:tcBorders>
              <w:top w:val="nil"/>
              <w:left w:val="nil"/>
              <w:bottom w:val="single" w:sz="4" w:space="0" w:color="auto"/>
              <w:right w:val="single" w:sz="4" w:space="0" w:color="auto"/>
            </w:tcBorders>
            <w:shd w:val="clear" w:color="auto" w:fill="DBE5F1" w:themeFill="accent1" w:themeFillTint="33"/>
            <w:vAlign w:val="center"/>
            <w:hideMark/>
          </w:tcPr>
          <w:p w14:paraId="47FA2B51" w14:textId="2EECA711" w:rsidR="00EC6227" w:rsidRPr="00EC6227" w:rsidRDefault="00EC6227" w:rsidP="00ED7946">
            <w:pPr>
              <w:spacing w:after="0" w:line="240" w:lineRule="auto"/>
              <w:jc w:val="center"/>
              <w:rPr>
                <w:rFonts w:ascii="Calibri" w:eastAsia="Times New Roman" w:hAnsi="Calibri" w:cs="Calibri"/>
                <w:b/>
                <w:bCs/>
                <w:color w:val="000000"/>
                <w:sz w:val="18"/>
                <w:szCs w:val="18"/>
                <w:lang w:eastAsia="es-CO"/>
              </w:rPr>
            </w:pPr>
            <w:r w:rsidRPr="00EC6227">
              <w:rPr>
                <w:rFonts w:ascii="Calibri" w:eastAsia="Times New Roman" w:hAnsi="Calibri" w:cs="Calibri"/>
                <w:b/>
                <w:bCs/>
                <w:color w:val="000000"/>
                <w:sz w:val="18"/>
                <w:szCs w:val="18"/>
                <w:lang w:eastAsia="es-CO"/>
              </w:rPr>
              <w:t>CORREO REMITENTE</w:t>
            </w:r>
          </w:p>
        </w:tc>
        <w:tc>
          <w:tcPr>
            <w:tcW w:w="1210" w:type="dxa"/>
            <w:tcBorders>
              <w:top w:val="nil"/>
              <w:left w:val="nil"/>
              <w:bottom w:val="single" w:sz="4" w:space="0" w:color="auto"/>
              <w:right w:val="single" w:sz="4" w:space="0" w:color="auto"/>
            </w:tcBorders>
            <w:shd w:val="clear" w:color="auto" w:fill="DBE5F1" w:themeFill="accent1" w:themeFillTint="33"/>
            <w:vAlign w:val="center"/>
            <w:hideMark/>
          </w:tcPr>
          <w:p w14:paraId="635CA541" w14:textId="47D20F37" w:rsidR="00EC6227" w:rsidRPr="00EC6227" w:rsidRDefault="00EC6227" w:rsidP="00ED7946">
            <w:pPr>
              <w:spacing w:after="0" w:line="240" w:lineRule="auto"/>
              <w:jc w:val="center"/>
              <w:rPr>
                <w:rFonts w:ascii="Calibri" w:eastAsia="Times New Roman" w:hAnsi="Calibri" w:cs="Calibri"/>
                <w:b/>
                <w:bCs/>
                <w:color w:val="000000"/>
                <w:sz w:val="18"/>
                <w:szCs w:val="18"/>
                <w:lang w:eastAsia="es-CO"/>
              </w:rPr>
            </w:pPr>
            <w:r w:rsidRPr="00EC6227">
              <w:rPr>
                <w:rFonts w:ascii="Calibri" w:eastAsia="Times New Roman" w:hAnsi="Calibri" w:cs="Calibri"/>
                <w:b/>
                <w:bCs/>
                <w:color w:val="000000"/>
                <w:sz w:val="18"/>
                <w:szCs w:val="18"/>
                <w:lang w:eastAsia="es-CO"/>
              </w:rPr>
              <w:t>RESPONSABLE</w:t>
            </w:r>
          </w:p>
        </w:tc>
        <w:tc>
          <w:tcPr>
            <w:tcW w:w="1283" w:type="dxa"/>
            <w:tcBorders>
              <w:top w:val="nil"/>
              <w:left w:val="nil"/>
              <w:bottom w:val="single" w:sz="4" w:space="0" w:color="auto"/>
              <w:right w:val="single" w:sz="4" w:space="0" w:color="auto"/>
            </w:tcBorders>
            <w:shd w:val="clear" w:color="auto" w:fill="DBE5F1" w:themeFill="accent1" w:themeFillTint="33"/>
            <w:vAlign w:val="center"/>
            <w:hideMark/>
          </w:tcPr>
          <w:p w14:paraId="743C9EDA" w14:textId="77777777" w:rsidR="00EC6227" w:rsidRPr="00EC6227" w:rsidRDefault="00EC6227" w:rsidP="00ED7946">
            <w:pPr>
              <w:spacing w:after="0" w:line="240" w:lineRule="auto"/>
              <w:jc w:val="center"/>
              <w:rPr>
                <w:rFonts w:ascii="Calibri" w:eastAsia="Times New Roman" w:hAnsi="Calibri" w:cs="Calibri"/>
                <w:b/>
                <w:bCs/>
                <w:color w:val="000000"/>
                <w:sz w:val="18"/>
                <w:szCs w:val="18"/>
                <w:lang w:eastAsia="es-CO"/>
              </w:rPr>
            </w:pPr>
            <w:r w:rsidRPr="00EC6227">
              <w:rPr>
                <w:rFonts w:ascii="Calibri" w:eastAsia="Times New Roman" w:hAnsi="Calibri" w:cs="Calibri"/>
                <w:b/>
                <w:bCs/>
                <w:color w:val="000000"/>
                <w:sz w:val="18"/>
                <w:szCs w:val="18"/>
                <w:lang w:eastAsia="es-CO"/>
              </w:rPr>
              <w:t>CORREO DESTINATARIO</w:t>
            </w:r>
          </w:p>
        </w:tc>
        <w:tc>
          <w:tcPr>
            <w:tcW w:w="3659" w:type="dxa"/>
            <w:tcBorders>
              <w:top w:val="nil"/>
              <w:left w:val="nil"/>
              <w:bottom w:val="single" w:sz="4" w:space="0" w:color="auto"/>
              <w:right w:val="single" w:sz="4" w:space="0" w:color="auto"/>
            </w:tcBorders>
            <w:shd w:val="clear" w:color="auto" w:fill="DBE5F1" w:themeFill="accent1" w:themeFillTint="33"/>
            <w:vAlign w:val="center"/>
            <w:hideMark/>
          </w:tcPr>
          <w:p w14:paraId="54A71525" w14:textId="77777777" w:rsidR="00EC6227" w:rsidRPr="00EC6227" w:rsidRDefault="00EC6227" w:rsidP="00ED7946">
            <w:pPr>
              <w:spacing w:after="0" w:line="240" w:lineRule="auto"/>
              <w:jc w:val="center"/>
              <w:rPr>
                <w:rFonts w:ascii="Calibri" w:eastAsia="Times New Roman" w:hAnsi="Calibri" w:cs="Calibri"/>
                <w:b/>
                <w:bCs/>
                <w:color w:val="000000"/>
                <w:sz w:val="18"/>
                <w:szCs w:val="18"/>
                <w:lang w:eastAsia="es-CO"/>
              </w:rPr>
            </w:pPr>
            <w:r w:rsidRPr="00EC6227">
              <w:rPr>
                <w:rFonts w:ascii="Calibri" w:eastAsia="Times New Roman" w:hAnsi="Calibri" w:cs="Calibri"/>
                <w:b/>
                <w:bCs/>
                <w:color w:val="000000"/>
                <w:sz w:val="18"/>
                <w:szCs w:val="18"/>
                <w:lang w:eastAsia="es-CO"/>
              </w:rPr>
              <w:t>ASUNTO</w:t>
            </w:r>
          </w:p>
        </w:tc>
        <w:tc>
          <w:tcPr>
            <w:tcW w:w="3118" w:type="dxa"/>
            <w:tcBorders>
              <w:top w:val="nil"/>
              <w:left w:val="nil"/>
              <w:bottom w:val="single" w:sz="4" w:space="0" w:color="auto"/>
              <w:right w:val="single" w:sz="4" w:space="0" w:color="auto"/>
            </w:tcBorders>
            <w:shd w:val="clear" w:color="auto" w:fill="DBE5F1" w:themeFill="accent1" w:themeFillTint="33"/>
            <w:vAlign w:val="center"/>
            <w:hideMark/>
          </w:tcPr>
          <w:p w14:paraId="28E30156" w14:textId="609E9B3A" w:rsidR="00EC6227" w:rsidRPr="00EC6227" w:rsidRDefault="00EC6227" w:rsidP="00ED7946">
            <w:pPr>
              <w:spacing w:after="0" w:line="240" w:lineRule="auto"/>
              <w:jc w:val="center"/>
              <w:rPr>
                <w:rFonts w:ascii="Calibri" w:eastAsia="Times New Roman" w:hAnsi="Calibri" w:cs="Calibri"/>
                <w:b/>
                <w:bCs/>
                <w:color w:val="000000"/>
                <w:sz w:val="18"/>
                <w:szCs w:val="18"/>
                <w:lang w:eastAsia="es-CO"/>
              </w:rPr>
            </w:pPr>
            <w:r w:rsidRPr="00EC6227">
              <w:rPr>
                <w:rFonts w:ascii="Calibri" w:eastAsia="Times New Roman" w:hAnsi="Calibri" w:cs="Calibri"/>
                <w:b/>
                <w:bCs/>
                <w:color w:val="000000"/>
                <w:sz w:val="18"/>
                <w:szCs w:val="18"/>
                <w:lang w:eastAsia="es-CO"/>
              </w:rPr>
              <w:t>ANEXOS</w:t>
            </w:r>
          </w:p>
        </w:tc>
        <w:tc>
          <w:tcPr>
            <w:tcW w:w="2268" w:type="dxa"/>
            <w:tcBorders>
              <w:top w:val="nil"/>
              <w:left w:val="nil"/>
              <w:bottom w:val="single" w:sz="4" w:space="0" w:color="auto"/>
              <w:right w:val="single" w:sz="8" w:space="0" w:color="auto"/>
            </w:tcBorders>
            <w:shd w:val="clear" w:color="auto" w:fill="DBE5F1" w:themeFill="accent1" w:themeFillTint="33"/>
            <w:vAlign w:val="center"/>
            <w:hideMark/>
          </w:tcPr>
          <w:p w14:paraId="27B7125E" w14:textId="3FB5EFA4" w:rsidR="00EC6227" w:rsidRPr="00EC6227" w:rsidRDefault="00EC6227" w:rsidP="00ED7946">
            <w:pPr>
              <w:spacing w:after="0" w:line="240" w:lineRule="auto"/>
              <w:jc w:val="center"/>
              <w:rPr>
                <w:rFonts w:ascii="Calibri" w:eastAsia="Times New Roman" w:hAnsi="Calibri" w:cs="Calibri"/>
                <w:b/>
                <w:bCs/>
                <w:color w:val="000000"/>
                <w:sz w:val="18"/>
                <w:szCs w:val="18"/>
                <w:lang w:eastAsia="es-CO"/>
              </w:rPr>
            </w:pPr>
            <w:r w:rsidRPr="00EC6227">
              <w:rPr>
                <w:rFonts w:ascii="Calibri" w:eastAsia="Times New Roman" w:hAnsi="Calibri" w:cs="Calibri"/>
                <w:b/>
                <w:bCs/>
                <w:color w:val="000000"/>
                <w:sz w:val="18"/>
                <w:szCs w:val="18"/>
                <w:lang w:eastAsia="es-CO"/>
              </w:rPr>
              <w:t>OBSERBACIÓN</w:t>
            </w:r>
          </w:p>
        </w:tc>
      </w:tr>
      <w:tr w:rsidR="00ED7946" w:rsidRPr="00EC6227" w14:paraId="383A43F7" w14:textId="77777777" w:rsidTr="001774FC">
        <w:trPr>
          <w:trHeight w:val="763"/>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332FEDA0"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15/07/2024</w:t>
            </w:r>
          </w:p>
        </w:tc>
        <w:tc>
          <w:tcPr>
            <w:tcW w:w="1283" w:type="dxa"/>
            <w:tcBorders>
              <w:top w:val="nil"/>
              <w:left w:val="nil"/>
              <w:bottom w:val="single" w:sz="4" w:space="0" w:color="auto"/>
              <w:right w:val="single" w:sz="4" w:space="0" w:color="auto"/>
            </w:tcBorders>
            <w:shd w:val="clear" w:color="auto" w:fill="auto"/>
            <w:noWrap/>
            <w:vAlign w:val="center"/>
            <w:hideMark/>
          </w:tcPr>
          <w:p w14:paraId="50BBE120" w14:textId="41B72BD0"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Representación judicial</w:t>
            </w:r>
          </w:p>
        </w:tc>
        <w:tc>
          <w:tcPr>
            <w:tcW w:w="1210" w:type="dxa"/>
            <w:tcBorders>
              <w:top w:val="nil"/>
              <w:left w:val="nil"/>
              <w:bottom w:val="single" w:sz="4" w:space="0" w:color="auto"/>
              <w:right w:val="single" w:sz="4" w:space="0" w:color="auto"/>
            </w:tcBorders>
            <w:shd w:val="clear" w:color="auto" w:fill="auto"/>
            <w:noWrap/>
            <w:vAlign w:val="center"/>
            <w:hideMark/>
          </w:tcPr>
          <w:p w14:paraId="52B865D6" w14:textId="2B189E1C"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Paola Caicedo Pedraza</w:t>
            </w:r>
          </w:p>
        </w:tc>
        <w:tc>
          <w:tcPr>
            <w:tcW w:w="1283" w:type="dxa"/>
            <w:tcBorders>
              <w:top w:val="nil"/>
              <w:left w:val="nil"/>
              <w:bottom w:val="single" w:sz="4" w:space="0" w:color="auto"/>
              <w:right w:val="single" w:sz="4" w:space="0" w:color="auto"/>
            </w:tcBorders>
            <w:shd w:val="clear" w:color="auto" w:fill="auto"/>
            <w:noWrap/>
            <w:vAlign w:val="center"/>
            <w:hideMark/>
          </w:tcPr>
          <w:p w14:paraId="07279B16"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y Comité CDJ</w:t>
            </w:r>
          </w:p>
        </w:tc>
        <w:tc>
          <w:tcPr>
            <w:tcW w:w="3659" w:type="dxa"/>
            <w:tcBorders>
              <w:top w:val="nil"/>
              <w:left w:val="nil"/>
              <w:bottom w:val="single" w:sz="4" w:space="0" w:color="auto"/>
              <w:right w:val="single" w:sz="4" w:space="0" w:color="auto"/>
            </w:tcBorders>
            <w:shd w:val="clear" w:color="auto" w:fill="auto"/>
            <w:noWrap/>
            <w:vAlign w:val="center"/>
            <w:hideMark/>
          </w:tcPr>
          <w:p w14:paraId="15755464" w14:textId="37FD23AE"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 xml:space="preserve">Envió a </w:t>
            </w:r>
            <w:r w:rsidR="00F54D9F" w:rsidRPr="00F54D9F">
              <w:rPr>
                <w:rFonts w:ascii="Calibri" w:eastAsia="Times New Roman" w:hAnsi="Calibri" w:cs="Calibri"/>
                <w:color w:val="000000"/>
                <w:sz w:val="18"/>
                <w:szCs w:val="18"/>
                <w:lang w:eastAsia="es-CO"/>
              </w:rPr>
              <w:t>s</w:t>
            </w:r>
            <w:r w:rsidRPr="00F54D9F">
              <w:rPr>
                <w:rFonts w:ascii="Calibri" w:eastAsia="Times New Roman" w:hAnsi="Calibri" w:cs="Calibri"/>
                <w:color w:val="000000"/>
                <w:sz w:val="18"/>
                <w:szCs w:val="18"/>
                <w:lang w:eastAsia="es-CO"/>
              </w:rPr>
              <w:t>ecretar</w:t>
            </w:r>
            <w:r w:rsidR="00F54D9F" w:rsidRPr="00F54D9F">
              <w:rPr>
                <w:rFonts w:ascii="Calibri" w:eastAsia="Times New Roman" w:hAnsi="Calibri" w:cs="Calibri"/>
                <w:color w:val="000000"/>
                <w:sz w:val="18"/>
                <w:szCs w:val="18"/>
                <w:lang w:eastAsia="es-CO"/>
              </w:rPr>
              <w:t>ia t</w:t>
            </w:r>
            <w:r w:rsidRPr="00F54D9F">
              <w:rPr>
                <w:rFonts w:ascii="Calibri" w:eastAsia="Times New Roman" w:hAnsi="Calibri" w:cs="Calibri"/>
                <w:color w:val="000000"/>
                <w:sz w:val="18"/>
                <w:szCs w:val="18"/>
                <w:lang w:eastAsia="es-CO"/>
              </w:rPr>
              <w:t>écnica la ficha técnica de Proceso de (AAACPT CONSULTORES S.A.S.) y del (ALEXANDRA RAYO Y OTROS)</w:t>
            </w:r>
          </w:p>
        </w:tc>
        <w:tc>
          <w:tcPr>
            <w:tcW w:w="3118" w:type="dxa"/>
            <w:tcBorders>
              <w:top w:val="nil"/>
              <w:left w:val="nil"/>
              <w:bottom w:val="single" w:sz="4" w:space="0" w:color="auto"/>
              <w:right w:val="single" w:sz="4" w:space="0" w:color="auto"/>
            </w:tcBorders>
            <w:shd w:val="clear" w:color="auto" w:fill="auto"/>
            <w:noWrap/>
            <w:vAlign w:val="center"/>
            <w:hideMark/>
          </w:tcPr>
          <w:p w14:paraId="5133390C" w14:textId="589235A6"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Ficha técnica (Excel)</w:t>
            </w:r>
          </w:p>
        </w:tc>
        <w:tc>
          <w:tcPr>
            <w:tcW w:w="2268" w:type="dxa"/>
            <w:tcBorders>
              <w:top w:val="nil"/>
              <w:left w:val="nil"/>
              <w:bottom w:val="single" w:sz="4" w:space="0" w:color="auto"/>
              <w:right w:val="single" w:sz="8" w:space="0" w:color="auto"/>
            </w:tcBorders>
            <w:shd w:val="clear" w:color="auto" w:fill="auto"/>
            <w:noWrap/>
            <w:vAlign w:val="center"/>
            <w:hideMark/>
          </w:tcPr>
          <w:p w14:paraId="35206E75" w14:textId="4954EED2" w:rsidR="00EC6227" w:rsidRPr="00EC6227" w:rsidRDefault="004170E3" w:rsidP="00426DC3">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observaciones.</w:t>
            </w:r>
          </w:p>
        </w:tc>
      </w:tr>
      <w:tr w:rsidR="00ED7946" w:rsidRPr="00EC6227" w14:paraId="72BD24D9" w14:textId="77777777" w:rsidTr="001774FC">
        <w:trPr>
          <w:trHeight w:val="990"/>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2E4E1CD2"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15/07/2024</w:t>
            </w:r>
          </w:p>
        </w:tc>
        <w:tc>
          <w:tcPr>
            <w:tcW w:w="1283" w:type="dxa"/>
            <w:tcBorders>
              <w:top w:val="nil"/>
              <w:left w:val="nil"/>
              <w:bottom w:val="single" w:sz="4" w:space="0" w:color="auto"/>
              <w:right w:val="single" w:sz="4" w:space="0" w:color="auto"/>
            </w:tcBorders>
            <w:shd w:val="clear" w:color="auto" w:fill="auto"/>
            <w:noWrap/>
            <w:vAlign w:val="center"/>
            <w:hideMark/>
          </w:tcPr>
          <w:p w14:paraId="05B45FB6"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73C87E2A" w14:textId="5A4BEDEE"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6D9D022C"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Representante Judicial y Comité CDJ</w:t>
            </w:r>
          </w:p>
        </w:tc>
        <w:tc>
          <w:tcPr>
            <w:tcW w:w="3659" w:type="dxa"/>
            <w:tcBorders>
              <w:top w:val="nil"/>
              <w:left w:val="nil"/>
              <w:bottom w:val="single" w:sz="4" w:space="0" w:color="auto"/>
              <w:right w:val="single" w:sz="4" w:space="0" w:color="auto"/>
            </w:tcBorders>
            <w:shd w:val="clear" w:color="auto" w:fill="auto"/>
            <w:noWrap/>
            <w:vAlign w:val="center"/>
            <w:hideMark/>
          </w:tcPr>
          <w:p w14:paraId="3B6947FF" w14:textId="6101768E"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 xml:space="preserve">Indica que la ficha técnica </w:t>
            </w:r>
            <w:r w:rsidR="00F54D9F" w:rsidRPr="00F54D9F">
              <w:rPr>
                <w:rFonts w:ascii="Calibri" w:eastAsia="Times New Roman" w:hAnsi="Calibri" w:cs="Calibri"/>
                <w:color w:val="000000"/>
                <w:sz w:val="18"/>
                <w:szCs w:val="18"/>
                <w:lang w:eastAsia="es-CO"/>
              </w:rPr>
              <w:t xml:space="preserve"> </w:t>
            </w:r>
            <w:r w:rsidRPr="00F54D9F">
              <w:rPr>
                <w:rFonts w:ascii="Calibri" w:eastAsia="Times New Roman" w:hAnsi="Calibri" w:cs="Calibri"/>
                <w:color w:val="000000"/>
                <w:sz w:val="18"/>
                <w:szCs w:val="18"/>
                <w:lang w:eastAsia="es-CO"/>
              </w:rPr>
              <w:t xml:space="preserve"> allegada el 10 de julio está incompleta. Solicita incluir las fichas el estudio de acción de repetición de los casos de la señora SIXTA y COODESURIS.</w:t>
            </w:r>
          </w:p>
        </w:tc>
        <w:tc>
          <w:tcPr>
            <w:tcW w:w="3118" w:type="dxa"/>
            <w:tcBorders>
              <w:top w:val="nil"/>
              <w:left w:val="nil"/>
              <w:bottom w:val="single" w:sz="4" w:space="0" w:color="auto"/>
              <w:right w:val="single" w:sz="4" w:space="0" w:color="auto"/>
            </w:tcBorders>
            <w:shd w:val="clear" w:color="auto" w:fill="auto"/>
            <w:noWrap/>
            <w:vAlign w:val="center"/>
            <w:hideMark/>
          </w:tcPr>
          <w:p w14:paraId="50FBDEC6" w14:textId="16B1A0AC" w:rsidR="00EC6227" w:rsidRPr="00F54D9F" w:rsidRDefault="004170E3"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8"/>
                <w:szCs w:val="18"/>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699E234D" w14:textId="7F5BD83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La solicitud es con ocasión al alistamiento de información para el desarrollo del Comité.</w:t>
            </w:r>
          </w:p>
        </w:tc>
      </w:tr>
      <w:tr w:rsidR="00ED7946" w:rsidRPr="00EC6227" w14:paraId="68886A25" w14:textId="77777777" w:rsidTr="001774FC">
        <w:trPr>
          <w:trHeight w:val="693"/>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5D3B9DE7"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19/07/2024</w:t>
            </w:r>
          </w:p>
        </w:tc>
        <w:tc>
          <w:tcPr>
            <w:tcW w:w="1283" w:type="dxa"/>
            <w:tcBorders>
              <w:top w:val="nil"/>
              <w:left w:val="nil"/>
              <w:bottom w:val="single" w:sz="4" w:space="0" w:color="auto"/>
              <w:right w:val="single" w:sz="4" w:space="0" w:color="auto"/>
            </w:tcBorders>
            <w:shd w:val="clear" w:color="auto" w:fill="auto"/>
            <w:noWrap/>
            <w:vAlign w:val="center"/>
            <w:hideMark/>
          </w:tcPr>
          <w:p w14:paraId="53259789"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64333CD5" w14:textId="0182B97C"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1CB19DF5"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Comité CDJ</w:t>
            </w:r>
          </w:p>
        </w:tc>
        <w:tc>
          <w:tcPr>
            <w:tcW w:w="3659" w:type="dxa"/>
            <w:tcBorders>
              <w:top w:val="nil"/>
              <w:left w:val="nil"/>
              <w:bottom w:val="single" w:sz="4" w:space="0" w:color="auto"/>
              <w:right w:val="single" w:sz="4" w:space="0" w:color="auto"/>
            </w:tcBorders>
            <w:shd w:val="clear" w:color="auto" w:fill="auto"/>
            <w:noWrap/>
            <w:vAlign w:val="center"/>
            <w:hideMark/>
          </w:tcPr>
          <w:p w14:paraId="65058D07" w14:textId="0F127522"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Convocatoria para Comité CDJ presencial para el 16/07/2024 8:30am</w:t>
            </w:r>
          </w:p>
        </w:tc>
        <w:tc>
          <w:tcPr>
            <w:tcW w:w="3118" w:type="dxa"/>
            <w:tcBorders>
              <w:top w:val="nil"/>
              <w:left w:val="nil"/>
              <w:bottom w:val="single" w:sz="4" w:space="0" w:color="auto"/>
              <w:right w:val="single" w:sz="4" w:space="0" w:color="auto"/>
            </w:tcBorders>
            <w:shd w:val="clear" w:color="auto" w:fill="auto"/>
            <w:noWrap/>
            <w:vAlign w:val="center"/>
            <w:hideMark/>
          </w:tcPr>
          <w:p w14:paraId="21003B42" w14:textId="57D44C0B" w:rsidR="00EC6227" w:rsidRPr="00F54D9F" w:rsidRDefault="004170E3"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8"/>
                <w:szCs w:val="18"/>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20EE142B" w14:textId="655A3C09"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Advierte el pendiente por parte de la representante Judicial de las fichas técnicas de Coodesuris y la acción de repetición.</w:t>
            </w:r>
          </w:p>
        </w:tc>
      </w:tr>
      <w:tr w:rsidR="00ED7946" w:rsidRPr="00EC6227" w14:paraId="2D93D698" w14:textId="77777777" w:rsidTr="001774FC">
        <w:trPr>
          <w:trHeight w:val="1327"/>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545CF3F1"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19/07/2024</w:t>
            </w:r>
          </w:p>
        </w:tc>
        <w:tc>
          <w:tcPr>
            <w:tcW w:w="1283" w:type="dxa"/>
            <w:tcBorders>
              <w:top w:val="nil"/>
              <w:left w:val="nil"/>
              <w:bottom w:val="single" w:sz="4" w:space="0" w:color="auto"/>
              <w:right w:val="single" w:sz="4" w:space="0" w:color="auto"/>
            </w:tcBorders>
            <w:shd w:val="clear" w:color="auto" w:fill="auto"/>
            <w:noWrap/>
            <w:vAlign w:val="center"/>
            <w:hideMark/>
          </w:tcPr>
          <w:p w14:paraId="0D0750FA"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6CBA33ED" w14:textId="5830C0D5"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3E66F246"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Comité CDJ</w:t>
            </w:r>
          </w:p>
        </w:tc>
        <w:tc>
          <w:tcPr>
            <w:tcW w:w="3659" w:type="dxa"/>
            <w:tcBorders>
              <w:top w:val="nil"/>
              <w:left w:val="nil"/>
              <w:bottom w:val="single" w:sz="4" w:space="0" w:color="auto"/>
              <w:right w:val="single" w:sz="4" w:space="0" w:color="auto"/>
            </w:tcBorders>
            <w:shd w:val="clear" w:color="auto" w:fill="auto"/>
            <w:noWrap/>
            <w:vAlign w:val="center"/>
            <w:hideMark/>
          </w:tcPr>
          <w:p w14:paraId="0E6945EB" w14:textId="616284B1"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Convocatoria para el primer Comité CDJ del mes de julio para el lunes (se presume 22/07/2024) 8:30am</w:t>
            </w:r>
          </w:p>
        </w:tc>
        <w:tc>
          <w:tcPr>
            <w:tcW w:w="3118" w:type="dxa"/>
            <w:tcBorders>
              <w:top w:val="nil"/>
              <w:left w:val="nil"/>
              <w:bottom w:val="single" w:sz="4" w:space="0" w:color="auto"/>
              <w:right w:val="single" w:sz="4" w:space="0" w:color="auto"/>
            </w:tcBorders>
            <w:shd w:val="clear" w:color="auto" w:fill="auto"/>
            <w:noWrap/>
            <w:vAlign w:val="center"/>
            <w:hideMark/>
          </w:tcPr>
          <w:p w14:paraId="77ABFDB8" w14:textId="39812ABD" w:rsidR="00EC6227" w:rsidRPr="00F54D9F" w:rsidRDefault="004170E3"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8"/>
                <w:szCs w:val="18"/>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1C316246" w14:textId="0164989D"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Indica que son 5 puntos a tratar y solicita a la representante judicial las enviar las fichas técnicas de acción de repetición de la señora SIXTA y COODESURIS.</w:t>
            </w:r>
          </w:p>
        </w:tc>
      </w:tr>
      <w:tr w:rsidR="00ED7946" w:rsidRPr="00EC6227" w14:paraId="467528CB" w14:textId="77777777" w:rsidTr="001774FC">
        <w:trPr>
          <w:trHeight w:val="1480"/>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B9C63C8"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24/07/2024</w:t>
            </w:r>
          </w:p>
        </w:tc>
        <w:tc>
          <w:tcPr>
            <w:tcW w:w="1283" w:type="dxa"/>
            <w:tcBorders>
              <w:top w:val="nil"/>
              <w:left w:val="nil"/>
              <w:bottom w:val="single" w:sz="4" w:space="0" w:color="auto"/>
              <w:right w:val="single" w:sz="4" w:space="0" w:color="auto"/>
            </w:tcBorders>
            <w:shd w:val="clear" w:color="auto" w:fill="auto"/>
            <w:noWrap/>
            <w:vAlign w:val="center"/>
            <w:hideMark/>
          </w:tcPr>
          <w:p w14:paraId="59ACABF9"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504E51C3" w14:textId="0B3F644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67A38BAA"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Comité CDJ</w:t>
            </w:r>
          </w:p>
        </w:tc>
        <w:tc>
          <w:tcPr>
            <w:tcW w:w="3659" w:type="dxa"/>
            <w:tcBorders>
              <w:top w:val="nil"/>
              <w:left w:val="nil"/>
              <w:bottom w:val="single" w:sz="4" w:space="0" w:color="auto"/>
              <w:right w:val="single" w:sz="4" w:space="0" w:color="auto"/>
            </w:tcBorders>
            <w:shd w:val="clear" w:color="auto" w:fill="auto"/>
            <w:noWrap/>
            <w:vAlign w:val="center"/>
            <w:hideMark/>
          </w:tcPr>
          <w:p w14:paraId="0831F332" w14:textId="19F6B5D6"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Recordar a los miembros de Comité CDJ los compromisos adquiridos en el marco del comité.</w:t>
            </w:r>
          </w:p>
        </w:tc>
        <w:tc>
          <w:tcPr>
            <w:tcW w:w="3118" w:type="dxa"/>
            <w:tcBorders>
              <w:top w:val="nil"/>
              <w:left w:val="nil"/>
              <w:bottom w:val="single" w:sz="4" w:space="0" w:color="auto"/>
              <w:right w:val="single" w:sz="4" w:space="0" w:color="auto"/>
            </w:tcBorders>
            <w:shd w:val="clear" w:color="auto" w:fill="auto"/>
            <w:noWrap/>
            <w:vAlign w:val="center"/>
            <w:hideMark/>
          </w:tcPr>
          <w:p w14:paraId="7F4B70FE" w14:textId="4B396C74" w:rsidR="00EC6227" w:rsidRPr="00F54D9F" w:rsidRDefault="004170E3"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8"/>
                <w:szCs w:val="18"/>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0C3ACA72" w14:textId="3FE895E3"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 observa en los</w:t>
            </w:r>
            <w:r w:rsidR="009469DB">
              <w:rPr>
                <w:rFonts w:ascii="Calibri" w:eastAsia="Times New Roman" w:hAnsi="Calibri" w:cs="Calibri"/>
                <w:color w:val="000000"/>
                <w:sz w:val="18"/>
                <w:szCs w:val="18"/>
                <w:lang w:eastAsia="es-CO"/>
              </w:rPr>
              <w:t xml:space="preserve"> </w:t>
            </w:r>
            <w:r w:rsidRPr="00F54D9F">
              <w:rPr>
                <w:rFonts w:ascii="Calibri" w:eastAsia="Times New Roman" w:hAnsi="Calibri" w:cs="Calibri"/>
                <w:color w:val="000000"/>
                <w:sz w:val="18"/>
                <w:szCs w:val="18"/>
                <w:lang w:eastAsia="es-CO"/>
              </w:rPr>
              <w:t>4 compromisos que 3 de estos hacen referencia al estudio del medio de control de acción de repetición, con la aclaración y condicionamiento que será una vez se realice el pago total.</w:t>
            </w:r>
          </w:p>
        </w:tc>
      </w:tr>
      <w:tr w:rsidR="00755C29" w:rsidRPr="00EC6227" w14:paraId="78524BAD" w14:textId="77777777" w:rsidTr="001774FC">
        <w:trPr>
          <w:trHeight w:val="2047"/>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7AAC220"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lastRenderedPageBreak/>
              <w:t>2/10/2024</w:t>
            </w:r>
          </w:p>
        </w:tc>
        <w:tc>
          <w:tcPr>
            <w:tcW w:w="1283" w:type="dxa"/>
            <w:tcBorders>
              <w:top w:val="nil"/>
              <w:left w:val="nil"/>
              <w:bottom w:val="single" w:sz="4" w:space="0" w:color="auto"/>
              <w:right w:val="single" w:sz="4" w:space="0" w:color="auto"/>
            </w:tcBorders>
            <w:shd w:val="clear" w:color="auto" w:fill="auto"/>
            <w:noWrap/>
            <w:vAlign w:val="center"/>
            <w:hideMark/>
          </w:tcPr>
          <w:p w14:paraId="0CE5F8F4"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6D8C6C60" w14:textId="34EF85C8"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3F268082"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Comité CDJ</w:t>
            </w:r>
          </w:p>
        </w:tc>
        <w:tc>
          <w:tcPr>
            <w:tcW w:w="3659" w:type="dxa"/>
            <w:tcBorders>
              <w:top w:val="nil"/>
              <w:left w:val="nil"/>
              <w:bottom w:val="single" w:sz="4" w:space="0" w:color="auto"/>
              <w:right w:val="single" w:sz="4" w:space="0" w:color="auto"/>
            </w:tcBorders>
            <w:shd w:val="clear" w:color="auto" w:fill="auto"/>
            <w:vAlign w:val="center"/>
            <w:hideMark/>
          </w:tcPr>
          <w:p w14:paraId="431CC8C7" w14:textId="44CF37AC"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Convocatoria para el primer Comité CDJ del mes de octubre para el día martes 8/10/2024) 9:30am.</w:t>
            </w:r>
            <w:r w:rsidRPr="00F54D9F">
              <w:rPr>
                <w:rFonts w:ascii="Calibri" w:eastAsia="Times New Roman" w:hAnsi="Calibri" w:cs="Calibri"/>
                <w:color w:val="000000"/>
                <w:sz w:val="18"/>
                <w:szCs w:val="18"/>
                <w:lang w:eastAsia="es-CO"/>
              </w:rPr>
              <w:br/>
            </w:r>
            <w:r w:rsidRPr="00F54D9F">
              <w:rPr>
                <w:rFonts w:ascii="Calibri" w:eastAsia="Times New Roman" w:hAnsi="Calibri" w:cs="Calibri"/>
                <w:color w:val="000000"/>
                <w:sz w:val="18"/>
                <w:szCs w:val="18"/>
                <w:lang w:eastAsia="es-CO"/>
              </w:rPr>
              <w:br/>
              <w:t xml:space="preserve">Solicita </w:t>
            </w:r>
            <w:proofErr w:type="spellStart"/>
            <w:r w:rsidRPr="00F54D9F">
              <w:rPr>
                <w:rFonts w:ascii="Calibri" w:eastAsia="Times New Roman" w:hAnsi="Calibri" w:cs="Calibri"/>
                <w:color w:val="000000"/>
                <w:sz w:val="18"/>
                <w:szCs w:val="18"/>
                <w:lang w:eastAsia="es-CO"/>
              </w:rPr>
              <w:t>el</w:t>
            </w:r>
            <w:proofErr w:type="spellEnd"/>
            <w:r w:rsidRPr="00F54D9F">
              <w:rPr>
                <w:rFonts w:ascii="Calibri" w:eastAsia="Times New Roman" w:hAnsi="Calibri" w:cs="Calibri"/>
                <w:color w:val="000000"/>
                <w:sz w:val="18"/>
                <w:szCs w:val="18"/>
                <w:lang w:eastAsia="es-CO"/>
              </w:rPr>
              <w:t xml:space="preserve"> envió de las fichas técnicas para la realización del comité.</w:t>
            </w:r>
          </w:p>
        </w:tc>
        <w:tc>
          <w:tcPr>
            <w:tcW w:w="3118" w:type="dxa"/>
            <w:tcBorders>
              <w:top w:val="nil"/>
              <w:left w:val="nil"/>
              <w:bottom w:val="single" w:sz="4" w:space="0" w:color="auto"/>
              <w:right w:val="single" w:sz="4" w:space="0" w:color="auto"/>
            </w:tcBorders>
            <w:shd w:val="clear" w:color="auto" w:fill="auto"/>
            <w:vAlign w:val="center"/>
            <w:hideMark/>
          </w:tcPr>
          <w:p w14:paraId="424F540F" w14:textId="2C68EBD9"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En la convocatoria incorpora los compromisos.</w:t>
            </w:r>
            <w:r w:rsidRPr="00F54D9F">
              <w:rPr>
                <w:rFonts w:ascii="Calibri" w:eastAsia="Times New Roman" w:hAnsi="Calibri" w:cs="Calibri"/>
                <w:color w:val="000000"/>
                <w:sz w:val="18"/>
                <w:szCs w:val="18"/>
                <w:lang w:eastAsia="es-CO"/>
              </w:rPr>
              <w:br/>
              <w:t>Anexan documentos para soporte del punto de Riesgo financiero con MEDIMAS.</w:t>
            </w:r>
          </w:p>
        </w:tc>
        <w:tc>
          <w:tcPr>
            <w:tcW w:w="2268" w:type="dxa"/>
            <w:tcBorders>
              <w:top w:val="nil"/>
              <w:left w:val="nil"/>
              <w:bottom w:val="single" w:sz="4" w:space="0" w:color="auto"/>
              <w:right w:val="single" w:sz="8" w:space="0" w:color="auto"/>
            </w:tcBorders>
            <w:shd w:val="clear" w:color="auto" w:fill="auto"/>
            <w:vAlign w:val="center"/>
            <w:hideMark/>
          </w:tcPr>
          <w:p w14:paraId="78588E26" w14:textId="63EC26C1"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 observa que los compromisos corresponden a los mismos compromisos del comité convocado en el mes de julio.</w:t>
            </w:r>
            <w:r w:rsidRPr="00F54D9F">
              <w:rPr>
                <w:rFonts w:ascii="Calibri" w:eastAsia="Times New Roman" w:hAnsi="Calibri" w:cs="Calibri"/>
                <w:color w:val="000000"/>
                <w:sz w:val="18"/>
                <w:szCs w:val="18"/>
                <w:lang w:eastAsia="es-CO"/>
              </w:rPr>
              <w:br/>
              <w:t>También se observa que el profesional de Catera, facturación y cuentas medicas solicito el comité para exponer el Riesgo financiero que aqueja la entidad con MEDIMAS.</w:t>
            </w:r>
          </w:p>
        </w:tc>
      </w:tr>
      <w:tr w:rsidR="00755C29" w:rsidRPr="00EC6227" w14:paraId="7F5C3421" w14:textId="77777777" w:rsidTr="001774FC">
        <w:trPr>
          <w:trHeight w:val="870"/>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082E2011"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9/10/2024</w:t>
            </w:r>
          </w:p>
        </w:tc>
        <w:tc>
          <w:tcPr>
            <w:tcW w:w="1283" w:type="dxa"/>
            <w:tcBorders>
              <w:top w:val="nil"/>
              <w:left w:val="nil"/>
              <w:bottom w:val="single" w:sz="4" w:space="0" w:color="auto"/>
              <w:right w:val="single" w:sz="4" w:space="0" w:color="auto"/>
            </w:tcBorders>
            <w:shd w:val="clear" w:color="auto" w:fill="auto"/>
            <w:noWrap/>
            <w:vAlign w:val="center"/>
            <w:hideMark/>
          </w:tcPr>
          <w:p w14:paraId="6C90D529"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0B4E6D73" w14:textId="75979B2E"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5AC98973"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Comité CDJ</w:t>
            </w:r>
          </w:p>
        </w:tc>
        <w:tc>
          <w:tcPr>
            <w:tcW w:w="3659" w:type="dxa"/>
            <w:tcBorders>
              <w:top w:val="nil"/>
              <w:left w:val="nil"/>
              <w:bottom w:val="single" w:sz="4" w:space="0" w:color="auto"/>
              <w:right w:val="single" w:sz="4" w:space="0" w:color="auto"/>
            </w:tcBorders>
            <w:shd w:val="clear" w:color="auto" w:fill="auto"/>
            <w:vAlign w:val="center"/>
            <w:hideMark/>
          </w:tcPr>
          <w:p w14:paraId="00AAF538" w14:textId="63E3344A"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Convocatoria para el   Comité CDJ para el día miércoles 16/10/2024) 9:00am.</w:t>
            </w:r>
            <w:r w:rsidRPr="00F54D9F">
              <w:rPr>
                <w:rFonts w:ascii="Calibri" w:eastAsia="Times New Roman" w:hAnsi="Calibri" w:cs="Calibri"/>
                <w:color w:val="000000"/>
                <w:sz w:val="18"/>
                <w:szCs w:val="18"/>
                <w:lang w:eastAsia="es-CO"/>
              </w:rPr>
              <w:br/>
            </w:r>
            <w:r w:rsidRPr="00F54D9F">
              <w:rPr>
                <w:rFonts w:ascii="Calibri" w:eastAsia="Times New Roman" w:hAnsi="Calibri" w:cs="Calibri"/>
                <w:color w:val="000000"/>
                <w:sz w:val="18"/>
                <w:szCs w:val="18"/>
                <w:lang w:eastAsia="es-CO"/>
              </w:rPr>
              <w:br/>
              <w:t>Solicita el envío de las fichas técnicas para la realización del comité.</w:t>
            </w:r>
          </w:p>
        </w:tc>
        <w:tc>
          <w:tcPr>
            <w:tcW w:w="3118" w:type="dxa"/>
            <w:tcBorders>
              <w:top w:val="nil"/>
              <w:left w:val="nil"/>
              <w:bottom w:val="single" w:sz="4" w:space="0" w:color="auto"/>
              <w:right w:val="single" w:sz="4" w:space="0" w:color="auto"/>
            </w:tcBorders>
            <w:shd w:val="clear" w:color="auto" w:fill="auto"/>
            <w:vAlign w:val="center"/>
            <w:hideMark/>
          </w:tcPr>
          <w:p w14:paraId="398E2329" w14:textId="26D5C68B"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En la convocatoria incorpora los compromisos.</w:t>
            </w:r>
            <w:r w:rsidRPr="00F54D9F">
              <w:rPr>
                <w:rFonts w:ascii="Calibri" w:eastAsia="Times New Roman" w:hAnsi="Calibri" w:cs="Calibri"/>
                <w:color w:val="000000"/>
                <w:sz w:val="18"/>
                <w:szCs w:val="18"/>
                <w:lang w:eastAsia="es-CO"/>
              </w:rPr>
              <w:br/>
              <w:t>Anexan documentos para soporte del punto de Riesgo financiero con MEDIMAS.</w:t>
            </w:r>
          </w:p>
        </w:tc>
        <w:tc>
          <w:tcPr>
            <w:tcW w:w="2268" w:type="dxa"/>
            <w:tcBorders>
              <w:top w:val="nil"/>
              <w:left w:val="nil"/>
              <w:bottom w:val="single" w:sz="4" w:space="0" w:color="auto"/>
              <w:right w:val="single" w:sz="8" w:space="0" w:color="auto"/>
            </w:tcBorders>
            <w:shd w:val="clear" w:color="auto" w:fill="auto"/>
            <w:noWrap/>
            <w:vAlign w:val="center"/>
            <w:hideMark/>
          </w:tcPr>
          <w:p w14:paraId="1CE7B01E" w14:textId="54292CCB"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 reitera y reprograma el Comité.</w:t>
            </w:r>
          </w:p>
        </w:tc>
      </w:tr>
      <w:tr w:rsidR="00755C29" w:rsidRPr="00EC6227" w14:paraId="6DB48FC6" w14:textId="77777777" w:rsidTr="001774FC">
        <w:trPr>
          <w:trHeight w:val="1539"/>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0F48CFE6"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24/10/2024</w:t>
            </w:r>
          </w:p>
        </w:tc>
        <w:tc>
          <w:tcPr>
            <w:tcW w:w="1283" w:type="dxa"/>
            <w:tcBorders>
              <w:top w:val="nil"/>
              <w:left w:val="nil"/>
              <w:bottom w:val="single" w:sz="4" w:space="0" w:color="auto"/>
              <w:right w:val="single" w:sz="4" w:space="0" w:color="auto"/>
            </w:tcBorders>
            <w:shd w:val="clear" w:color="auto" w:fill="auto"/>
            <w:noWrap/>
            <w:vAlign w:val="center"/>
            <w:hideMark/>
          </w:tcPr>
          <w:p w14:paraId="775C7268"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309E0767" w14:textId="4AA855F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398ECB91" w14:textId="36F6C5FD"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Comité CDJ y Representación Judicial</w:t>
            </w:r>
          </w:p>
        </w:tc>
        <w:tc>
          <w:tcPr>
            <w:tcW w:w="3659" w:type="dxa"/>
            <w:tcBorders>
              <w:top w:val="nil"/>
              <w:left w:val="nil"/>
              <w:bottom w:val="single" w:sz="4" w:space="0" w:color="auto"/>
              <w:right w:val="single" w:sz="4" w:space="0" w:color="auto"/>
            </w:tcBorders>
            <w:shd w:val="clear" w:color="auto" w:fill="auto"/>
            <w:vAlign w:val="center"/>
            <w:hideMark/>
          </w:tcPr>
          <w:p w14:paraId="362448A7" w14:textId="34164BE9"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 xml:space="preserve">Solicita de forma reiterativa (2,10 y 24 de octubre) las fichas técnicas para realizar el comité. </w:t>
            </w:r>
            <w:r w:rsidRPr="00F54D9F">
              <w:rPr>
                <w:rFonts w:ascii="Calibri" w:eastAsia="Times New Roman" w:hAnsi="Calibri" w:cs="Calibri"/>
                <w:color w:val="000000"/>
                <w:sz w:val="18"/>
                <w:szCs w:val="18"/>
                <w:lang w:eastAsia="es-CO"/>
              </w:rPr>
              <w:br/>
              <w:t xml:space="preserve">Recuerda al comité la obligatoriedad de realizar al menos 2 comités al mes e indica que en el mes de octubre no se ha realizado. </w:t>
            </w:r>
            <w:r w:rsidRPr="00F54D9F">
              <w:rPr>
                <w:rFonts w:ascii="Calibri" w:eastAsia="Times New Roman" w:hAnsi="Calibri" w:cs="Calibri"/>
                <w:color w:val="000000"/>
                <w:sz w:val="18"/>
                <w:szCs w:val="18"/>
                <w:lang w:eastAsia="es-CO"/>
              </w:rPr>
              <w:br/>
              <w:t>Indica que una vez se cuente con las fichas técnicas se realizara el comité.</w:t>
            </w:r>
          </w:p>
        </w:tc>
        <w:tc>
          <w:tcPr>
            <w:tcW w:w="3118" w:type="dxa"/>
            <w:tcBorders>
              <w:top w:val="nil"/>
              <w:left w:val="nil"/>
              <w:bottom w:val="single" w:sz="4" w:space="0" w:color="auto"/>
              <w:right w:val="single" w:sz="4" w:space="0" w:color="auto"/>
            </w:tcBorders>
            <w:shd w:val="clear" w:color="auto" w:fill="auto"/>
            <w:noWrap/>
            <w:vAlign w:val="center"/>
            <w:hideMark/>
          </w:tcPr>
          <w:p w14:paraId="2903F361" w14:textId="180BF521"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Nuevamente se recuerdan los compromisos s y estos corresponden a los mismo señalados desde el mes de julio.</w:t>
            </w:r>
          </w:p>
        </w:tc>
        <w:tc>
          <w:tcPr>
            <w:tcW w:w="2268" w:type="dxa"/>
            <w:tcBorders>
              <w:top w:val="nil"/>
              <w:left w:val="nil"/>
              <w:bottom w:val="single" w:sz="4" w:space="0" w:color="auto"/>
              <w:right w:val="single" w:sz="8" w:space="0" w:color="auto"/>
            </w:tcBorders>
            <w:shd w:val="clear" w:color="auto" w:fill="auto"/>
            <w:noWrap/>
            <w:vAlign w:val="center"/>
            <w:hideMark/>
          </w:tcPr>
          <w:p w14:paraId="179C995F" w14:textId="02222F67" w:rsidR="00EC6227" w:rsidRPr="00EC6227" w:rsidRDefault="009469DB" w:rsidP="00426DC3">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observaciones.</w:t>
            </w:r>
          </w:p>
        </w:tc>
      </w:tr>
      <w:tr w:rsidR="00ED7946" w:rsidRPr="00EC6227" w14:paraId="53695179" w14:textId="77777777" w:rsidTr="002202F4">
        <w:trPr>
          <w:trHeight w:val="1460"/>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42FC9CF6"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28/10/2024</w:t>
            </w:r>
          </w:p>
        </w:tc>
        <w:tc>
          <w:tcPr>
            <w:tcW w:w="1283" w:type="dxa"/>
            <w:tcBorders>
              <w:top w:val="nil"/>
              <w:left w:val="nil"/>
              <w:bottom w:val="single" w:sz="4" w:space="0" w:color="auto"/>
              <w:right w:val="single" w:sz="4" w:space="0" w:color="auto"/>
            </w:tcBorders>
            <w:shd w:val="clear" w:color="auto" w:fill="auto"/>
            <w:noWrap/>
            <w:vAlign w:val="center"/>
            <w:hideMark/>
          </w:tcPr>
          <w:p w14:paraId="701E50EC" w14:textId="0FD3EEB3"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Oficina Control Interno de Gestión.</w:t>
            </w:r>
          </w:p>
        </w:tc>
        <w:tc>
          <w:tcPr>
            <w:tcW w:w="1210" w:type="dxa"/>
            <w:tcBorders>
              <w:top w:val="nil"/>
              <w:left w:val="nil"/>
              <w:bottom w:val="single" w:sz="4" w:space="0" w:color="auto"/>
              <w:right w:val="single" w:sz="4" w:space="0" w:color="auto"/>
            </w:tcBorders>
            <w:shd w:val="clear" w:color="auto" w:fill="auto"/>
            <w:noWrap/>
            <w:vAlign w:val="center"/>
            <w:hideMark/>
          </w:tcPr>
          <w:p w14:paraId="5613597B" w14:textId="5EBA0886"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Lucedy Trujillo.</w:t>
            </w:r>
          </w:p>
        </w:tc>
        <w:tc>
          <w:tcPr>
            <w:tcW w:w="1283" w:type="dxa"/>
            <w:tcBorders>
              <w:top w:val="nil"/>
              <w:left w:val="nil"/>
              <w:bottom w:val="single" w:sz="4" w:space="0" w:color="auto"/>
              <w:right w:val="single" w:sz="4" w:space="0" w:color="auto"/>
            </w:tcBorders>
            <w:shd w:val="clear" w:color="auto" w:fill="auto"/>
            <w:noWrap/>
            <w:vAlign w:val="center"/>
            <w:hideMark/>
          </w:tcPr>
          <w:p w14:paraId="3F5CA551" w14:textId="21E5EB6D"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y miembros del Comité CDJ.</w:t>
            </w:r>
          </w:p>
        </w:tc>
        <w:tc>
          <w:tcPr>
            <w:tcW w:w="3659" w:type="dxa"/>
            <w:tcBorders>
              <w:top w:val="nil"/>
              <w:left w:val="nil"/>
              <w:bottom w:val="single" w:sz="4" w:space="0" w:color="auto"/>
              <w:right w:val="single" w:sz="4" w:space="0" w:color="auto"/>
            </w:tcBorders>
            <w:shd w:val="clear" w:color="auto" w:fill="auto"/>
            <w:noWrap/>
            <w:vAlign w:val="center"/>
            <w:hideMark/>
          </w:tcPr>
          <w:p w14:paraId="603EE1E6" w14:textId="3D363E05"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En atención al correo de la secretaria técnica el 24/07/2024 (Incumplimiento de la representante judicial) solicita a la supervisora del contrato informar al comité las acciones tomadas para el cumplimiento de las actividades contractuales y recuerda los posibles hallazgos que podrían generarse por incumplimiento en el marco del comité CDJ.</w:t>
            </w:r>
          </w:p>
        </w:tc>
        <w:tc>
          <w:tcPr>
            <w:tcW w:w="3118" w:type="dxa"/>
            <w:tcBorders>
              <w:top w:val="nil"/>
              <w:left w:val="nil"/>
              <w:bottom w:val="single" w:sz="4" w:space="0" w:color="auto"/>
              <w:right w:val="single" w:sz="4" w:space="0" w:color="auto"/>
            </w:tcBorders>
            <w:shd w:val="clear" w:color="auto" w:fill="auto"/>
            <w:noWrap/>
            <w:vAlign w:val="center"/>
            <w:hideMark/>
          </w:tcPr>
          <w:p w14:paraId="676D2DB6" w14:textId="7DA4DEC9" w:rsidR="00EC6227" w:rsidRPr="00F54D9F" w:rsidRDefault="009469DB"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8"/>
                <w:szCs w:val="18"/>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627F944E" w14:textId="3D20C0E9" w:rsidR="00EC6227" w:rsidRPr="00EC6227" w:rsidRDefault="009469DB" w:rsidP="00426DC3">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observaciones</w:t>
            </w:r>
          </w:p>
        </w:tc>
      </w:tr>
      <w:tr w:rsidR="00ED7946" w:rsidRPr="00EC6227" w14:paraId="0DDA45B4" w14:textId="77777777" w:rsidTr="001774FC">
        <w:trPr>
          <w:trHeight w:val="1196"/>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0A676055"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lastRenderedPageBreak/>
              <w:t>30/10/2024</w:t>
            </w:r>
          </w:p>
        </w:tc>
        <w:tc>
          <w:tcPr>
            <w:tcW w:w="1283" w:type="dxa"/>
            <w:tcBorders>
              <w:top w:val="nil"/>
              <w:left w:val="nil"/>
              <w:bottom w:val="single" w:sz="4" w:space="0" w:color="auto"/>
              <w:right w:val="single" w:sz="4" w:space="0" w:color="auto"/>
            </w:tcBorders>
            <w:shd w:val="clear" w:color="auto" w:fill="auto"/>
            <w:noWrap/>
            <w:vAlign w:val="center"/>
            <w:hideMark/>
          </w:tcPr>
          <w:p w14:paraId="3AE75A65"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5883B366" w14:textId="330CBCC5"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4F8640AC"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Jefe de Control Interno de Gestión y miembros del Comité CDJ</w:t>
            </w:r>
          </w:p>
        </w:tc>
        <w:tc>
          <w:tcPr>
            <w:tcW w:w="3659" w:type="dxa"/>
            <w:tcBorders>
              <w:top w:val="nil"/>
              <w:left w:val="nil"/>
              <w:bottom w:val="single" w:sz="4" w:space="0" w:color="auto"/>
              <w:right w:val="single" w:sz="4" w:space="0" w:color="auto"/>
            </w:tcBorders>
            <w:shd w:val="clear" w:color="auto" w:fill="auto"/>
            <w:noWrap/>
            <w:vAlign w:val="center"/>
            <w:hideMark/>
          </w:tcPr>
          <w:p w14:paraId="6C6BE08C" w14:textId="0AB2AC4F"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Informa que de acuerdos a la solicitud hecha por la Oficina de Control Interna el día 28/10/2024, la supervisora del contrato no la secretaria técnica ha recibido respuesta de la representante judicial.</w:t>
            </w:r>
          </w:p>
        </w:tc>
        <w:tc>
          <w:tcPr>
            <w:tcW w:w="3118" w:type="dxa"/>
            <w:tcBorders>
              <w:top w:val="nil"/>
              <w:left w:val="nil"/>
              <w:bottom w:val="single" w:sz="4" w:space="0" w:color="auto"/>
              <w:right w:val="single" w:sz="4" w:space="0" w:color="auto"/>
            </w:tcBorders>
            <w:shd w:val="clear" w:color="auto" w:fill="auto"/>
            <w:noWrap/>
            <w:vAlign w:val="center"/>
            <w:hideMark/>
          </w:tcPr>
          <w:p w14:paraId="01924171" w14:textId="788DB060" w:rsidR="00EC6227" w:rsidRPr="00F54D9F" w:rsidRDefault="009469DB" w:rsidP="00426DC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6"/>
                <w:szCs w:val="16"/>
                <w:lang w:eastAsia="es-CO"/>
              </w:rPr>
              <w:t>No Hay observaciones</w:t>
            </w:r>
          </w:p>
        </w:tc>
        <w:tc>
          <w:tcPr>
            <w:tcW w:w="2268" w:type="dxa"/>
            <w:tcBorders>
              <w:top w:val="nil"/>
              <w:left w:val="nil"/>
              <w:bottom w:val="single" w:sz="4" w:space="0" w:color="auto"/>
              <w:right w:val="single" w:sz="8" w:space="0" w:color="auto"/>
            </w:tcBorders>
            <w:shd w:val="clear" w:color="auto" w:fill="auto"/>
            <w:noWrap/>
            <w:vAlign w:val="center"/>
            <w:hideMark/>
          </w:tcPr>
          <w:p w14:paraId="62E532C9" w14:textId="53152CD2" w:rsidR="00EC6227" w:rsidRPr="00EC6227" w:rsidRDefault="009469DB" w:rsidP="00426DC3">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observaciones</w:t>
            </w:r>
          </w:p>
        </w:tc>
      </w:tr>
      <w:tr w:rsidR="00755C29" w:rsidRPr="00EC6227" w14:paraId="14886237" w14:textId="77777777" w:rsidTr="001774FC">
        <w:trPr>
          <w:trHeight w:val="3889"/>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09B0D2ED"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8/11/2024</w:t>
            </w:r>
          </w:p>
        </w:tc>
        <w:tc>
          <w:tcPr>
            <w:tcW w:w="1283" w:type="dxa"/>
            <w:tcBorders>
              <w:top w:val="nil"/>
              <w:left w:val="nil"/>
              <w:bottom w:val="single" w:sz="4" w:space="0" w:color="auto"/>
              <w:right w:val="single" w:sz="4" w:space="0" w:color="auto"/>
            </w:tcBorders>
            <w:shd w:val="clear" w:color="auto" w:fill="auto"/>
            <w:noWrap/>
            <w:vAlign w:val="center"/>
            <w:hideMark/>
          </w:tcPr>
          <w:p w14:paraId="5F987AFA"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77B2C174" w14:textId="0D28480B"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1FB469EA" w14:textId="5D607C9A"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Miembros del Comité CDJ y Representación Judicial.</w:t>
            </w:r>
          </w:p>
        </w:tc>
        <w:tc>
          <w:tcPr>
            <w:tcW w:w="3659" w:type="dxa"/>
            <w:tcBorders>
              <w:top w:val="nil"/>
              <w:left w:val="nil"/>
              <w:bottom w:val="single" w:sz="4" w:space="0" w:color="auto"/>
              <w:right w:val="single" w:sz="4" w:space="0" w:color="auto"/>
            </w:tcBorders>
            <w:shd w:val="clear" w:color="auto" w:fill="auto"/>
            <w:noWrap/>
            <w:vAlign w:val="center"/>
            <w:hideMark/>
          </w:tcPr>
          <w:p w14:paraId="675009B3" w14:textId="0372E623"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Convocatoria para comité CDJ el miércoles 13/11/2024a las9:00 am</w:t>
            </w:r>
          </w:p>
        </w:tc>
        <w:tc>
          <w:tcPr>
            <w:tcW w:w="3118" w:type="dxa"/>
            <w:tcBorders>
              <w:top w:val="nil"/>
              <w:left w:val="nil"/>
              <w:bottom w:val="single" w:sz="4" w:space="0" w:color="auto"/>
              <w:right w:val="single" w:sz="4" w:space="0" w:color="auto"/>
            </w:tcBorders>
            <w:shd w:val="clear" w:color="auto" w:fill="auto"/>
            <w:vAlign w:val="center"/>
            <w:hideMark/>
          </w:tcPr>
          <w:p w14:paraId="0491141D" w14:textId="41D1FE9D"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 xml:space="preserve">Compromisos: </w:t>
            </w:r>
            <w:r w:rsidRPr="00F54D9F">
              <w:rPr>
                <w:rFonts w:ascii="Calibri" w:eastAsia="Times New Roman" w:hAnsi="Calibri" w:cs="Calibri"/>
                <w:color w:val="000000"/>
                <w:sz w:val="18"/>
                <w:szCs w:val="18"/>
                <w:lang w:eastAsia="es-CO"/>
              </w:rPr>
              <w:br/>
              <w:t>. Riesgo financiero que representa en no adelantar acciones frente a las E.P.S' S en liquidación (MEDIMAS), debido a que no se presentó el recurso entre los términos, solicitado desde el área de cartera.</w:t>
            </w:r>
            <w:r w:rsidRPr="00F54D9F">
              <w:rPr>
                <w:rFonts w:ascii="Calibri" w:eastAsia="Times New Roman" w:hAnsi="Calibri" w:cs="Calibri"/>
                <w:color w:val="000000"/>
                <w:sz w:val="18"/>
                <w:szCs w:val="18"/>
                <w:lang w:eastAsia="es-CO"/>
              </w:rPr>
              <w:br/>
              <w:t>. Estudio de caso de acción de repetición Sixta</w:t>
            </w:r>
            <w:r w:rsidRPr="00F54D9F">
              <w:rPr>
                <w:rFonts w:ascii="Calibri" w:eastAsia="Times New Roman" w:hAnsi="Calibri" w:cs="Calibri"/>
                <w:color w:val="000000"/>
                <w:sz w:val="18"/>
                <w:szCs w:val="18"/>
                <w:lang w:eastAsia="es-CO"/>
              </w:rPr>
              <w:br/>
              <w:t>. Soporte de pago de los conceptos adeudados a Coodesuris, para radicar en tesorería.</w:t>
            </w:r>
            <w:r w:rsidRPr="00F54D9F">
              <w:rPr>
                <w:rFonts w:ascii="Calibri" w:eastAsia="Times New Roman" w:hAnsi="Calibri" w:cs="Calibri"/>
                <w:color w:val="000000"/>
                <w:sz w:val="18"/>
                <w:szCs w:val="18"/>
                <w:lang w:eastAsia="es-CO"/>
              </w:rPr>
              <w:br/>
              <w:t>. Caso IMEG: se requiere exponer el caso al comité con el fin de tomar decisiones respecto al pago de obligaciones pendientes por parte del Hospital (esto hace parte de un compromiso del Comité de Sostenibilidad financiera)</w:t>
            </w:r>
            <w:r w:rsidRPr="00F54D9F">
              <w:rPr>
                <w:rFonts w:ascii="Calibri" w:eastAsia="Times New Roman" w:hAnsi="Calibri" w:cs="Calibri"/>
                <w:color w:val="000000"/>
                <w:sz w:val="18"/>
                <w:szCs w:val="18"/>
                <w:lang w:eastAsia="es-CO"/>
              </w:rPr>
              <w:br/>
              <w:t>. Solicitud de informe a la representación judicial externa sobre REPARACION DIRECTA CONTRA LA SUPERSALUD – DEUDAS NO CUBIERTAS POR LA LIQUIDACION DE CAFESALUD EPS.</w:t>
            </w:r>
          </w:p>
        </w:tc>
        <w:tc>
          <w:tcPr>
            <w:tcW w:w="2268" w:type="dxa"/>
            <w:tcBorders>
              <w:top w:val="nil"/>
              <w:left w:val="nil"/>
              <w:bottom w:val="single" w:sz="4" w:space="0" w:color="auto"/>
              <w:right w:val="single" w:sz="8" w:space="0" w:color="auto"/>
            </w:tcBorders>
            <w:shd w:val="clear" w:color="auto" w:fill="auto"/>
            <w:noWrap/>
            <w:vAlign w:val="center"/>
            <w:hideMark/>
          </w:tcPr>
          <w:p w14:paraId="4CBD4838" w14:textId="5998F909"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 observa que persiste los mismos compromisos desde el mes de julio.  Como también la reiteración para el envío de fichas técnicas.</w:t>
            </w:r>
          </w:p>
        </w:tc>
      </w:tr>
      <w:tr w:rsidR="00755C29" w:rsidRPr="00EC6227" w14:paraId="20C9D404" w14:textId="77777777" w:rsidTr="002202F4">
        <w:trPr>
          <w:trHeight w:val="1124"/>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4F2C919A"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12/11/2024</w:t>
            </w:r>
          </w:p>
        </w:tc>
        <w:tc>
          <w:tcPr>
            <w:tcW w:w="1283" w:type="dxa"/>
            <w:tcBorders>
              <w:top w:val="nil"/>
              <w:left w:val="nil"/>
              <w:bottom w:val="single" w:sz="4" w:space="0" w:color="auto"/>
              <w:right w:val="single" w:sz="4" w:space="0" w:color="auto"/>
            </w:tcBorders>
            <w:shd w:val="clear" w:color="auto" w:fill="auto"/>
            <w:noWrap/>
            <w:vAlign w:val="center"/>
            <w:hideMark/>
          </w:tcPr>
          <w:p w14:paraId="7BDA8E91" w14:textId="77777777"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0A9C57C6" w14:textId="3A8DE038"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2AE00D97" w14:textId="6FDF9710"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Miembros del Comité CDJ y Representación Judicial.</w:t>
            </w:r>
          </w:p>
        </w:tc>
        <w:tc>
          <w:tcPr>
            <w:tcW w:w="3659" w:type="dxa"/>
            <w:tcBorders>
              <w:top w:val="nil"/>
              <w:left w:val="nil"/>
              <w:bottom w:val="single" w:sz="4" w:space="0" w:color="auto"/>
              <w:right w:val="single" w:sz="4" w:space="0" w:color="auto"/>
            </w:tcBorders>
            <w:shd w:val="clear" w:color="auto" w:fill="auto"/>
            <w:vAlign w:val="center"/>
            <w:hideMark/>
          </w:tcPr>
          <w:p w14:paraId="70761858" w14:textId="31FBBACC" w:rsidR="00EC6227" w:rsidRPr="00F54D9F" w:rsidRDefault="00EC6227" w:rsidP="00426DC3">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Recuerda la convocatoria para Comité CDJ el miércoles 13/11/2024</w:t>
            </w:r>
            <w:r w:rsidR="00F54D9F">
              <w:rPr>
                <w:rFonts w:ascii="Calibri" w:eastAsia="Times New Roman" w:hAnsi="Calibri" w:cs="Calibri"/>
                <w:color w:val="000000"/>
                <w:sz w:val="18"/>
                <w:szCs w:val="18"/>
                <w:lang w:eastAsia="es-CO"/>
              </w:rPr>
              <w:t xml:space="preserve"> </w:t>
            </w:r>
            <w:r w:rsidRPr="00F54D9F">
              <w:rPr>
                <w:rFonts w:ascii="Calibri" w:eastAsia="Times New Roman" w:hAnsi="Calibri" w:cs="Calibri"/>
                <w:color w:val="000000"/>
                <w:sz w:val="18"/>
                <w:szCs w:val="18"/>
                <w:lang w:eastAsia="es-CO"/>
              </w:rPr>
              <w:t>a las</w:t>
            </w:r>
            <w:r w:rsidR="00F54D9F">
              <w:rPr>
                <w:rFonts w:ascii="Calibri" w:eastAsia="Times New Roman" w:hAnsi="Calibri" w:cs="Calibri"/>
                <w:color w:val="000000"/>
                <w:sz w:val="18"/>
                <w:szCs w:val="18"/>
                <w:lang w:eastAsia="es-CO"/>
              </w:rPr>
              <w:t xml:space="preserve"> </w:t>
            </w:r>
            <w:r w:rsidRPr="00F54D9F">
              <w:rPr>
                <w:rFonts w:ascii="Calibri" w:eastAsia="Times New Roman" w:hAnsi="Calibri" w:cs="Calibri"/>
                <w:color w:val="000000"/>
                <w:sz w:val="18"/>
                <w:szCs w:val="18"/>
                <w:lang w:eastAsia="es-CO"/>
              </w:rPr>
              <w:t>9:00 am.</w:t>
            </w:r>
            <w:r w:rsidRPr="00F54D9F">
              <w:rPr>
                <w:rFonts w:ascii="Calibri" w:eastAsia="Times New Roman" w:hAnsi="Calibri" w:cs="Calibri"/>
                <w:color w:val="000000"/>
                <w:sz w:val="18"/>
                <w:szCs w:val="18"/>
                <w:lang w:eastAsia="es-CO"/>
              </w:rPr>
              <w:br/>
              <w:t>Recuerda a la Representante Judicial que las fichas se deben enviar con anticipación a los miembros del comité como insumo para el desarrollo del comité.</w:t>
            </w:r>
          </w:p>
        </w:tc>
        <w:tc>
          <w:tcPr>
            <w:tcW w:w="3118" w:type="dxa"/>
            <w:tcBorders>
              <w:top w:val="nil"/>
              <w:left w:val="nil"/>
              <w:bottom w:val="single" w:sz="4" w:space="0" w:color="auto"/>
              <w:right w:val="single" w:sz="4" w:space="0" w:color="auto"/>
            </w:tcBorders>
            <w:shd w:val="clear" w:color="auto" w:fill="auto"/>
            <w:noWrap/>
            <w:vAlign w:val="center"/>
            <w:hideMark/>
          </w:tcPr>
          <w:p w14:paraId="7D90D489" w14:textId="5AAC23B6" w:rsidR="00EC6227" w:rsidRPr="00F54D9F" w:rsidRDefault="009469DB"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6"/>
                <w:szCs w:val="16"/>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3836939E" w14:textId="6E6555FE" w:rsidR="00EC6227" w:rsidRPr="00EC6227" w:rsidRDefault="009469DB" w:rsidP="00426DC3">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observaciones</w:t>
            </w:r>
          </w:p>
        </w:tc>
      </w:tr>
      <w:tr w:rsidR="001774FC" w:rsidRPr="00EC6227" w14:paraId="243EC6DD" w14:textId="77777777" w:rsidTr="002202F4">
        <w:trPr>
          <w:trHeight w:val="842"/>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9D75918"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lastRenderedPageBreak/>
              <w:t>13/11/2024</w:t>
            </w:r>
          </w:p>
        </w:tc>
        <w:tc>
          <w:tcPr>
            <w:tcW w:w="1283" w:type="dxa"/>
            <w:tcBorders>
              <w:top w:val="nil"/>
              <w:left w:val="nil"/>
              <w:bottom w:val="single" w:sz="4" w:space="0" w:color="auto"/>
              <w:right w:val="single" w:sz="4" w:space="0" w:color="auto"/>
            </w:tcBorders>
            <w:shd w:val="clear" w:color="auto" w:fill="auto"/>
            <w:noWrap/>
            <w:vAlign w:val="center"/>
            <w:hideMark/>
          </w:tcPr>
          <w:p w14:paraId="5581DE09"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722FE3E5" w14:textId="148E2734"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3246C639" w14:textId="2C82B9C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Miembros del Comité CDJ y Representación Judicial.</w:t>
            </w:r>
          </w:p>
        </w:tc>
        <w:tc>
          <w:tcPr>
            <w:tcW w:w="3659" w:type="dxa"/>
            <w:tcBorders>
              <w:top w:val="nil"/>
              <w:left w:val="nil"/>
              <w:bottom w:val="single" w:sz="4" w:space="0" w:color="auto"/>
              <w:right w:val="single" w:sz="4" w:space="0" w:color="auto"/>
            </w:tcBorders>
            <w:shd w:val="clear" w:color="auto" w:fill="auto"/>
            <w:noWrap/>
            <w:vAlign w:val="center"/>
            <w:hideMark/>
          </w:tcPr>
          <w:p w14:paraId="602F4043" w14:textId="2AF48EA9"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Informa que, de acuerdo a lo acontecido en el comité, el mismo se retomara el día 14/11/2024. a las 9:00am</w:t>
            </w:r>
          </w:p>
        </w:tc>
        <w:tc>
          <w:tcPr>
            <w:tcW w:w="3118" w:type="dxa"/>
            <w:tcBorders>
              <w:top w:val="nil"/>
              <w:left w:val="nil"/>
              <w:bottom w:val="single" w:sz="4" w:space="0" w:color="auto"/>
              <w:right w:val="single" w:sz="4" w:space="0" w:color="auto"/>
            </w:tcBorders>
            <w:shd w:val="clear" w:color="auto" w:fill="auto"/>
            <w:noWrap/>
            <w:vAlign w:val="center"/>
            <w:hideMark/>
          </w:tcPr>
          <w:p w14:paraId="0FC13617" w14:textId="20946638" w:rsidR="001774FC" w:rsidRPr="00F54D9F" w:rsidRDefault="001774FC"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6"/>
                <w:szCs w:val="16"/>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0244CB7A" w14:textId="782235B4" w:rsidR="001774FC" w:rsidRPr="00EC6227" w:rsidRDefault="001774FC" w:rsidP="001774FC">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observaciones</w:t>
            </w:r>
          </w:p>
        </w:tc>
      </w:tr>
      <w:tr w:rsidR="001774FC" w:rsidRPr="00EC6227" w14:paraId="38555397" w14:textId="77777777" w:rsidTr="001774FC">
        <w:trPr>
          <w:trHeight w:val="1244"/>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175FC0F7"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11/12/2024</w:t>
            </w:r>
          </w:p>
        </w:tc>
        <w:tc>
          <w:tcPr>
            <w:tcW w:w="1283" w:type="dxa"/>
            <w:tcBorders>
              <w:top w:val="nil"/>
              <w:left w:val="nil"/>
              <w:bottom w:val="single" w:sz="4" w:space="0" w:color="auto"/>
              <w:right w:val="single" w:sz="4" w:space="0" w:color="auto"/>
            </w:tcBorders>
            <w:shd w:val="clear" w:color="auto" w:fill="auto"/>
            <w:noWrap/>
            <w:vAlign w:val="center"/>
            <w:hideMark/>
          </w:tcPr>
          <w:p w14:paraId="4F7A8272"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29EB2A87" w14:textId="1BCE96D8"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3DCB5216" w14:textId="5F7DA440"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Miembros del Comité CDJ y Representación Judicial.</w:t>
            </w:r>
          </w:p>
        </w:tc>
        <w:tc>
          <w:tcPr>
            <w:tcW w:w="3659" w:type="dxa"/>
            <w:tcBorders>
              <w:top w:val="nil"/>
              <w:left w:val="nil"/>
              <w:bottom w:val="single" w:sz="4" w:space="0" w:color="auto"/>
              <w:right w:val="single" w:sz="4" w:space="0" w:color="auto"/>
            </w:tcBorders>
            <w:shd w:val="clear" w:color="auto" w:fill="auto"/>
            <w:noWrap/>
            <w:vAlign w:val="center"/>
            <w:hideMark/>
          </w:tcPr>
          <w:p w14:paraId="3C18F60D" w14:textId="55F761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Envía a los miembros del Comité CDJ los compromisos adquiridos en el marco del Comité con los responsables y el estado de los compromisos.</w:t>
            </w:r>
          </w:p>
        </w:tc>
        <w:tc>
          <w:tcPr>
            <w:tcW w:w="3118" w:type="dxa"/>
            <w:tcBorders>
              <w:top w:val="nil"/>
              <w:left w:val="nil"/>
              <w:bottom w:val="single" w:sz="4" w:space="0" w:color="auto"/>
              <w:right w:val="single" w:sz="4" w:space="0" w:color="auto"/>
            </w:tcBorders>
            <w:shd w:val="clear" w:color="auto" w:fill="auto"/>
            <w:vAlign w:val="center"/>
            <w:hideMark/>
          </w:tcPr>
          <w:p w14:paraId="24A42552" w14:textId="106C155C"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1778F9">
              <w:rPr>
                <w:rFonts w:ascii="Calibri" w:eastAsia="Times New Roman" w:hAnsi="Calibri" w:cs="Calibri"/>
                <w:b/>
                <w:bCs/>
                <w:color w:val="000000"/>
                <w:sz w:val="18"/>
                <w:szCs w:val="18"/>
                <w:lang w:eastAsia="es-CO"/>
              </w:rPr>
              <w:t>Se anexa en el cuadro No. 3 los compromisos. Dada la extensión de estos como también la importancia</w:t>
            </w:r>
            <w:r w:rsidRPr="00F54D9F">
              <w:rPr>
                <w:rFonts w:ascii="Calibri" w:eastAsia="Times New Roman" w:hAnsi="Calibri" w:cs="Calibri"/>
                <w:color w:val="000000"/>
                <w:sz w:val="18"/>
                <w:szCs w:val="18"/>
                <w:lang w:eastAsia="es-CO"/>
              </w:rPr>
              <w:t>.</w:t>
            </w:r>
          </w:p>
        </w:tc>
        <w:tc>
          <w:tcPr>
            <w:tcW w:w="2268" w:type="dxa"/>
            <w:tcBorders>
              <w:top w:val="nil"/>
              <w:left w:val="nil"/>
              <w:bottom w:val="single" w:sz="4" w:space="0" w:color="auto"/>
              <w:right w:val="single" w:sz="8" w:space="0" w:color="auto"/>
            </w:tcBorders>
            <w:shd w:val="clear" w:color="auto" w:fill="auto"/>
            <w:noWrap/>
            <w:vAlign w:val="center"/>
            <w:hideMark/>
          </w:tcPr>
          <w:p w14:paraId="48387109" w14:textId="5EC85440"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 observa que persiste los mismos compromisos desde el mes de julio.  Como también la reiteración para el envío de fichas técnicas.</w:t>
            </w:r>
          </w:p>
        </w:tc>
      </w:tr>
      <w:tr w:rsidR="001774FC" w:rsidRPr="00EC6227" w14:paraId="35D51978" w14:textId="77777777" w:rsidTr="002202F4">
        <w:trPr>
          <w:trHeight w:val="771"/>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3C74A238"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17/12/2024</w:t>
            </w:r>
          </w:p>
        </w:tc>
        <w:tc>
          <w:tcPr>
            <w:tcW w:w="1283" w:type="dxa"/>
            <w:tcBorders>
              <w:top w:val="nil"/>
              <w:left w:val="nil"/>
              <w:bottom w:val="single" w:sz="4" w:space="0" w:color="auto"/>
              <w:right w:val="single" w:sz="4" w:space="0" w:color="auto"/>
            </w:tcBorders>
            <w:shd w:val="clear" w:color="auto" w:fill="auto"/>
            <w:noWrap/>
            <w:vAlign w:val="center"/>
            <w:hideMark/>
          </w:tcPr>
          <w:p w14:paraId="61801A6E"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0A82D0DF" w14:textId="4655024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5793A57F" w14:textId="46452E44"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Miembros del Comité CDJ y Representación Judicial.</w:t>
            </w:r>
          </w:p>
        </w:tc>
        <w:tc>
          <w:tcPr>
            <w:tcW w:w="3659" w:type="dxa"/>
            <w:tcBorders>
              <w:top w:val="nil"/>
              <w:left w:val="nil"/>
              <w:bottom w:val="single" w:sz="4" w:space="0" w:color="auto"/>
              <w:right w:val="single" w:sz="4" w:space="0" w:color="auto"/>
            </w:tcBorders>
            <w:shd w:val="clear" w:color="auto" w:fill="auto"/>
            <w:vAlign w:val="center"/>
            <w:hideMark/>
          </w:tcPr>
          <w:p w14:paraId="5640D29A" w14:textId="670CC3B0"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Envía Link para Comité</w:t>
            </w:r>
          </w:p>
        </w:tc>
        <w:tc>
          <w:tcPr>
            <w:tcW w:w="3118" w:type="dxa"/>
            <w:tcBorders>
              <w:top w:val="nil"/>
              <w:left w:val="nil"/>
              <w:bottom w:val="single" w:sz="4" w:space="0" w:color="auto"/>
              <w:right w:val="single" w:sz="4" w:space="0" w:color="auto"/>
            </w:tcBorders>
            <w:shd w:val="clear" w:color="auto" w:fill="auto"/>
            <w:noWrap/>
            <w:vAlign w:val="center"/>
            <w:hideMark/>
          </w:tcPr>
          <w:p w14:paraId="0FDC3324" w14:textId="770BB930" w:rsidR="001774FC" w:rsidRPr="00F54D9F" w:rsidRDefault="001774FC"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6"/>
                <w:szCs w:val="16"/>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0DA2B3B7"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 realizo comité virtual.</w:t>
            </w:r>
          </w:p>
        </w:tc>
      </w:tr>
      <w:tr w:rsidR="001774FC" w:rsidRPr="00EC6227" w14:paraId="135F3CAE" w14:textId="77777777" w:rsidTr="002202F4">
        <w:trPr>
          <w:trHeight w:val="629"/>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4B3EEDF4"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19/12/2024</w:t>
            </w:r>
          </w:p>
        </w:tc>
        <w:tc>
          <w:tcPr>
            <w:tcW w:w="1283" w:type="dxa"/>
            <w:tcBorders>
              <w:top w:val="nil"/>
              <w:left w:val="nil"/>
              <w:bottom w:val="single" w:sz="4" w:space="0" w:color="auto"/>
              <w:right w:val="single" w:sz="4" w:space="0" w:color="auto"/>
            </w:tcBorders>
            <w:shd w:val="clear" w:color="auto" w:fill="auto"/>
            <w:noWrap/>
            <w:vAlign w:val="center"/>
            <w:hideMark/>
          </w:tcPr>
          <w:p w14:paraId="483B8FEB"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300D01E3" w14:textId="1F40B86C"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7E0E414B" w14:textId="10EFBEE9"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Miembros del Comité CDJ y Representación Judicial.</w:t>
            </w:r>
          </w:p>
        </w:tc>
        <w:tc>
          <w:tcPr>
            <w:tcW w:w="3659" w:type="dxa"/>
            <w:tcBorders>
              <w:top w:val="nil"/>
              <w:left w:val="nil"/>
              <w:bottom w:val="single" w:sz="4" w:space="0" w:color="auto"/>
              <w:right w:val="single" w:sz="4" w:space="0" w:color="auto"/>
            </w:tcBorders>
            <w:shd w:val="clear" w:color="auto" w:fill="auto"/>
            <w:vAlign w:val="center"/>
            <w:hideMark/>
          </w:tcPr>
          <w:p w14:paraId="03EBE6AA" w14:textId="587BA28C"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Envía Link para Comité</w:t>
            </w:r>
          </w:p>
        </w:tc>
        <w:tc>
          <w:tcPr>
            <w:tcW w:w="3118" w:type="dxa"/>
            <w:tcBorders>
              <w:top w:val="nil"/>
              <w:left w:val="nil"/>
              <w:bottom w:val="single" w:sz="4" w:space="0" w:color="auto"/>
              <w:right w:val="single" w:sz="4" w:space="0" w:color="auto"/>
            </w:tcBorders>
            <w:shd w:val="clear" w:color="auto" w:fill="auto"/>
            <w:noWrap/>
            <w:vAlign w:val="center"/>
            <w:hideMark/>
          </w:tcPr>
          <w:p w14:paraId="0BFCCA86" w14:textId="17CC7122" w:rsidR="001774FC" w:rsidRPr="00F54D9F" w:rsidRDefault="001774FC"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6"/>
                <w:szCs w:val="16"/>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7BF22415"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 realizo comité virtual.</w:t>
            </w:r>
          </w:p>
        </w:tc>
      </w:tr>
      <w:tr w:rsidR="001774FC" w:rsidRPr="00EC6227" w14:paraId="44A0A49F" w14:textId="77777777" w:rsidTr="002202F4">
        <w:trPr>
          <w:trHeight w:val="853"/>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47A7AD36"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20/12/2024</w:t>
            </w:r>
          </w:p>
        </w:tc>
        <w:tc>
          <w:tcPr>
            <w:tcW w:w="1283" w:type="dxa"/>
            <w:tcBorders>
              <w:top w:val="nil"/>
              <w:left w:val="nil"/>
              <w:bottom w:val="single" w:sz="4" w:space="0" w:color="auto"/>
              <w:right w:val="single" w:sz="4" w:space="0" w:color="auto"/>
            </w:tcBorders>
            <w:shd w:val="clear" w:color="auto" w:fill="auto"/>
            <w:noWrap/>
            <w:vAlign w:val="center"/>
            <w:hideMark/>
          </w:tcPr>
          <w:p w14:paraId="06ACCDD5"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2E61165C" w14:textId="196D9C83"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5DA380D1" w14:textId="1D1A13F3"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Miembros del Comité CDJ y Representación Judicial.</w:t>
            </w:r>
          </w:p>
        </w:tc>
        <w:tc>
          <w:tcPr>
            <w:tcW w:w="3659" w:type="dxa"/>
            <w:tcBorders>
              <w:top w:val="nil"/>
              <w:left w:val="nil"/>
              <w:bottom w:val="single" w:sz="4" w:space="0" w:color="auto"/>
              <w:right w:val="single" w:sz="4" w:space="0" w:color="auto"/>
            </w:tcBorders>
            <w:shd w:val="clear" w:color="auto" w:fill="auto"/>
            <w:noWrap/>
            <w:vAlign w:val="center"/>
            <w:hideMark/>
          </w:tcPr>
          <w:p w14:paraId="6491B102" w14:textId="19DC29BB"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Convocatoria Comité CDJ el día 23/12/2024 informa que será invita la Dra. Paola Caicedo para darle alcance a los compromisos anteriores.</w:t>
            </w:r>
          </w:p>
        </w:tc>
        <w:tc>
          <w:tcPr>
            <w:tcW w:w="3118" w:type="dxa"/>
            <w:tcBorders>
              <w:top w:val="nil"/>
              <w:left w:val="nil"/>
              <w:bottom w:val="single" w:sz="4" w:space="0" w:color="auto"/>
              <w:right w:val="single" w:sz="4" w:space="0" w:color="auto"/>
            </w:tcBorders>
            <w:shd w:val="clear" w:color="auto" w:fill="auto"/>
            <w:noWrap/>
            <w:vAlign w:val="center"/>
            <w:hideMark/>
          </w:tcPr>
          <w:p w14:paraId="444086D2" w14:textId="2AC34FFF" w:rsidR="001774FC" w:rsidRPr="00F54D9F" w:rsidRDefault="001774FC" w:rsidP="002202F4">
            <w:pPr>
              <w:spacing w:after="0" w:line="240" w:lineRule="auto"/>
              <w:jc w:val="center"/>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6"/>
                <w:szCs w:val="16"/>
                <w:lang w:eastAsia="es-CO"/>
              </w:rPr>
              <w:t>N.A</w:t>
            </w:r>
            <w:proofErr w:type="gramEnd"/>
          </w:p>
        </w:tc>
        <w:tc>
          <w:tcPr>
            <w:tcW w:w="2268" w:type="dxa"/>
            <w:tcBorders>
              <w:top w:val="nil"/>
              <w:left w:val="nil"/>
              <w:bottom w:val="single" w:sz="4" w:space="0" w:color="auto"/>
              <w:right w:val="single" w:sz="8" w:space="0" w:color="auto"/>
            </w:tcBorders>
            <w:shd w:val="clear" w:color="auto" w:fill="auto"/>
            <w:noWrap/>
            <w:vAlign w:val="center"/>
            <w:hideMark/>
          </w:tcPr>
          <w:p w14:paraId="7A81121C" w14:textId="21E0A189" w:rsidR="001774FC" w:rsidRPr="00EC6227" w:rsidRDefault="001774FC" w:rsidP="001774FC">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observaciones</w:t>
            </w:r>
          </w:p>
        </w:tc>
      </w:tr>
      <w:tr w:rsidR="001774FC" w:rsidRPr="00EC6227" w14:paraId="3E8908CF" w14:textId="77777777" w:rsidTr="001774FC">
        <w:trPr>
          <w:trHeight w:val="905"/>
        </w:trPr>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61D849B1"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23/12/2024</w:t>
            </w:r>
          </w:p>
        </w:tc>
        <w:tc>
          <w:tcPr>
            <w:tcW w:w="1283" w:type="dxa"/>
            <w:tcBorders>
              <w:top w:val="nil"/>
              <w:left w:val="nil"/>
              <w:bottom w:val="single" w:sz="4" w:space="0" w:color="auto"/>
              <w:right w:val="single" w:sz="4" w:space="0" w:color="auto"/>
            </w:tcBorders>
            <w:shd w:val="clear" w:color="auto" w:fill="auto"/>
            <w:noWrap/>
            <w:vAlign w:val="center"/>
            <w:hideMark/>
          </w:tcPr>
          <w:p w14:paraId="418FF4A6"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4" w:space="0" w:color="auto"/>
              <w:right w:val="single" w:sz="4" w:space="0" w:color="auto"/>
            </w:tcBorders>
            <w:shd w:val="clear" w:color="auto" w:fill="auto"/>
            <w:noWrap/>
            <w:vAlign w:val="center"/>
            <w:hideMark/>
          </w:tcPr>
          <w:p w14:paraId="4AA96CFB" w14:textId="24A67C08"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4" w:space="0" w:color="auto"/>
              <w:right w:val="single" w:sz="4" w:space="0" w:color="auto"/>
            </w:tcBorders>
            <w:shd w:val="clear" w:color="auto" w:fill="auto"/>
            <w:noWrap/>
            <w:vAlign w:val="center"/>
            <w:hideMark/>
          </w:tcPr>
          <w:p w14:paraId="60C6A981" w14:textId="21F10591"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Miembros del Comité CDJ y Representación Judicial.</w:t>
            </w:r>
          </w:p>
        </w:tc>
        <w:tc>
          <w:tcPr>
            <w:tcW w:w="3659" w:type="dxa"/>
            <w:tcBorders>
              <w:top w:val="nil"/>
              <w:left w:val="nil"/>
              <w:bottom w:val="single" w:sz="4" w:space="0" w:color="auto"/>
              <w:right w:val="single" w:sz="4" w:space="0" w:color="auto"/>
            </w:tcBorders>
            <w:shd w:val="clear" w:color="auto" w:fill="auto"/>
            <w:noWrap/>
            <w:vAlign w:val="center"/>
            <w:hideMark/>
          </w:tcPr>
          <w:p w14:paraId="4061AF47" w14:textId="366F4A2B"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Envió Link</w:t>
            </w:r>
          </w:p>
        </w:tc>
        <w:tc>
          <w:tcPr>
            <w:tcW w:w="3118" w:type="dxa"/>
            <w:tcBorders>
              <w:top w:val="nil"/>
              <w:left w:val="nil"/>
              <w:bottom w:val="single" w:sz="4" w:space="0" w:color="auto"/>
              <w:right w:val="single" w:sz="4" w:space="0" w:color="auto"/>
            </w:tcBorders>
            <w:shd w:val="clear" w:color="auto" w:fill="auto"/>
            <w:vAlign w:val="center"/>
            <w:hideMark/>
          </w:tcPr>
          <w:p w14:paraId="7E8E0278"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 realizo comité virtual.</w:t>
            </w:r>
          </w:p>
        </w:tc>
        <w:tc>
          <w:tcPr>
            <w:tcW w:w="2268" w:type="dxa"/>
            <w:tcBorders>
              <w:top w:val="nil"/>
              <w:left w:val="nil"/>
              <w:bottom w:val="single" w:sz="4" w:space="0" w:color="auto"/>
              <w:right w:val="single" w:sz="8" w:space="0" w:color="auto"/>
            </w:tcBorders>
            <w:shd w:val="clear" w:color="auto" w:fill="auto"/>
            <w:noWrap/>
            <w:vAlign w:val="center"/>
            <w:hideMark/>
          </w:tcPr>
          <w:p w14:paraId="2901A0F8" w14:textId="0289A316" w:rsidR="001774FC" w:rsidRPr="00EC6227" w:rsidRDefault="001774FC" w:rsidP="001774FC">
            <w:pPr>
              <w:spacing w:after="0" w:line="240" w:lineRule="auto"/>
              <w:jc w:val="both"/>
              <w:rPr>
                <w:rFonts w:ascii="Calibri" w:eastAsia="Times New Roman" w:hAnsi="Calibri" w:cs="Calibri"/>
                <w:color w:val="000000"/>
                <w:lang w:eastAsia="es-CO"/>
              </w:rPr>
            </w:pPr>
            <w:r>
              <w:rPr>
                <w:rFonts w:ascii="Calibri" w:eastAsia="Times New Roman" w:hAnsi="Calibri" w:cs="Calibri"/>
                <w:color w:val="000000"/>
                <w:sz w:val="16"/>
                <w:szCs w:val="16"/>
                <w:lang w:eastAsia="es-CO"/>
              </w:rPr>
              <w:t>No Hay observaciones</w:t>
            </w:r>
          </w:p>
        </w:tc>
      </w:tr>
      <w:tr w:rsidR="001774FC" w:rsidRPr="00EC6227" w14:paraId="745612EB" w14:textId="77777777" w:rsidTr="001774FC">
        <w:trPr>
          <w:trHeight w:val="911"/>
        </w:trPr>
        <w:tc>
          <w:tcPr>
            <w:tcW w:w="1009" w:type="dxa"/>
            <w:tcBorders>
              <w:top w:val="nil"/>
              <w:left w:val="single" w:sz="8" w:space="0" w:color="auto"/>
              <w:bottom w:val="single" w:sz="8" w:space="0" w:color="auto"/>
              <w:right w:val="single" w:sz="4" w:space="0" w:color="auto"/>
            </w:tcBorders>
            <w:shd w:val="clear" w:color="auto" w:fill="auto"/>
            <w:noWrap/>
            <w:vAlign w:val="center"/>
            <w:hideMark/>
          </w:tcPr>
          <w:p w14:paraId="2A23C850"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26/12/2024</w:t>
            </w:r>
          </w:p>
        </w:tc>
        <w:tc>
          <w:tcPr>
            <w:tcW w:w="1283" w:type="dxa"/>
            <w:tcBorders>
              <w:top w:val="nil"/>
              <w:left w:val="nil"/>
              <w:bottom w:val="single" w:sz="8" w:space="0" w:color="auto"/>
              <w:right w:val="single" w:sz="4" w:space="0" w:color="auto"/>
            </w:tcBorders>
            <w:shd w:val="clear" w:color="auto" w:fill="auto"/>
            <w:noWrap/>
            <w:vAlign w:val="center"/>
            <w:hideMark/>
          </w:tcPr>
          <w:p w14:paraId="39C87A1B"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Secretaria Técnica del Comité CDJ</w:t>
            </w:r>
          </w:p>
        </w:tc>
        <w:tc>
          <w:tcPr>
            <w:tcW w:w="1210" w:type="dxa"/>
            <w:tcBorders>
              <w:top w:val="nil"/>
              <w:left w:val="nil"/>
              <w:bottom w:val="single" w:sz="8" w:space="0" w:color="auto"/>
              <w:right w:val="single" w:sz="4" w:space="0" w:color="auto"/>
            </w:tcBorders>
            <w:shd w:val="clear" w:color="auto" w:fill="auto"/>
            <w:noWrap/>
            <w:vAlign w:val="center"/>
            <w:hideMark/>
          </w:tcPr>
          <w:p w14:paraId="5B013DDE" w14:textId="6854BB6C"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Dra. Daniela Ramírez</w:t>
            </w:r>
          </w:p>
        </w:tc>
        <w:tc>
          <w:tcPr>
            <w:tcW w:w="1283" w:type="dxa"/>
            <w:tcBorders>
              <w:top w:val="nil"/>
              <w:left w:val="nil"/>
              <w:bottom w:val="single" w:sz="8" w:space="0" w:color="auto"/>
              <w:right w:val="single" w:sz="4" w:space="0" w:color="auto"/>
            </w:tcBorders>
            <w:shd w:val="clear" w:color="auto" w:fill="auto"/>
            <w:noWrap/>
            <w:vAlign w:val="center"/>
            <w:hideMark/>
          </w:tcPr>
          <w:p w14:paraId="59AF423E" w14:textId="15A6FD2C"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Miembros del Comité CDJ y Representación Judicial.</w:t>
            </w:r>
          </w:p>
        </w:tc>
        <w:tc>
          <w:tcPr>
            <w:tcW w:w="3659" w:type="dxa"/>
            <w:tcBorders>
              <w:top w:val="nil"/>
              <w:left w:val="nil"/>
              <w:bottom w:val="single" w:sz="8" w:space="0" w:color="auto"/>
              <w:right w:val="single" w:sz="4" w:space="0" w:color="auto"/>
            </w:tcBorders>
            <w:shd w:val="clear" w:color="auto" w:fill="auto"/>
            <w:noWrap/>
            <w:vAlign w:val="center"/>
            <w:hideMark/>
          </w:tcPr>
          <w:p w14:paraId="338D2123" w14:textId="424B39C8"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Envió Link</w:t>
            </w:r>
          </w:p>
        </w:tc>
        <w:tc>
          <w:tcPr>
            <w:tcW w:w="3118" w:type="dxa"/>
            <w:tcBorders>
              <w:top w:val="nil"/>
              <w:left w:val="nil"/>
              <w:bottom w:val="single" w:sz="8" w:space="0" w:color="auto"/>
              <w:right w:val="single" w:sz="4" w:space="0" w:color="auto"/>
            </w:tcBorders>
            <w:shd w:val="clear" w:color="auto" w:fill="auto"/>
            <w:vAlign w:val="center"/>
            <w:hideMark/>
          </w:tcPr>
          <w:p w14:paraId="483D02AC" w14:textId="77777777" w:rsidR="001774FC" w:rsidRPr="00F54D9F" w:rsidRDefault="001774FC" w:rsidP="001774FC">
            <w:pPr>
              <w:spacing w:after="0" w:line="240" w:lineRule="auto"/>
              <w:jc w:val="both"/>
              <w:rPr>
                <w:rFonts w:ascii="Calibri" w:eastAsia="Times New Roman" w:hAnsi="Calibri" w:cs="Calibri"/>
                <w:color w:val="000000"/>
                <w:sz w:val="18"/>
                <w:szCs w:val="18"/>
                <w:lang w:eastAsia="es-CO"/>
              </w:rPr>
            </w:pPr>
            <w:r w:rsidRPr="00F54D9F">
              <w:rPr>
                <w:rFonts w:ascii="Calibri" w:eastAsia="Times New Roman" w:hAnsi="Calibri" w:cs="Calibri"/>
                <w:color w:val="000000"/>
                <w:sz w:val="18"/>
                <w:szCs w:val="18"/>
                <w:lang w:eastAsia="es-CO"/>
              </w:rPr>
              <w:t>Se realizo comité virtual.</w:t>
            </w:r>
          </w:p>
        </w:tc>
        <w:tc>
          <w:tcPr>
            <w:tcW w:w="2268" w:type="dxa"/>
            <w:tcBorders>
              <w:top w:val="nil"/>
              <w:left w:val="nil"/>
              <w:bottom w:val="single" w:sz="8" w:space="0" w:color="auto"/>
              <w:right w:val="single" w:sz="8" w:space="0" w:color="auto"/>
            </w:tcBorders>
            <w:shd w:val="clear" w:color="auto" w:fill="auto"/>
            <w:noWrap/>
            <w:vAlign w:val="center"/>
            <w:hideMark/>
          </w:tcPr>
          <w:p w14:paraId="679C5AD9" w14:textId="75422E73" w:rsidR="001774FC" w:rsidRPr="00EC6227" w:rsidRDefault="001774FC" w:rsidP="001774FC">
            <w:pPr>
              <w:spacing w:after="0" w:line="240" w:lineRule="auto"/>
              <w:jc w:val="both"/>
              <w:rPr>
                <w:rFonts w:ascii="Calibri" w:eastAsia="Times New Roman" w:hAnsi="Calibri" w:cs="Calibri"/>
                <w:color w:val="000000"/>
                <w:lang w:eastAsia="es-CO"/>
              </w:rPr>
            </w:pPr>
            <w:r>
              <w:rPr>
                <w:rFonts w:ascii="Calibri" w:eastAsia="Times New Roman" w:hAnsi="Calibri" w:cs="Calibri"/>
                <w:color w:val="000000"/>
                <w:sz w:val="16"/>
                <w:szCs w:val="16"/>
                <w:lang w:eastAsia="es-CO"/>
              </w:rPr>
              <w:t>No Hay observaciones</w:t>
            </w:r>
          </w:p>
        </w:tc>
      </w:tr>
    </w:tbl>
    <w:p w14:paraId="10665ACB" w14:textId="77777777" w:rsidR="00ED7946" w:rsidRDefault="00ED7946" w:rsidP="009D7448">
      <w:pPr>
        <w:jc w:val="both"/>
        <w:rPr>
          <w:rFonts w:ascii="Arial" w:hAnsi="Arial" w:cs="Arial"/>
        </w:rPr>
      </w:pPr>
    </w:p>
    <w:p w14:paraId="77730603" w14:textId="77777777" w:rsidR="00E533EC" w:rsidRDefault="00E533EC" w:rsidP="00E533EC">
      <w:pPr>
        <w:jc w:val="center"/>
        <w:rPr>
          <w:rFonts w:ascii="Arial" w:hAnsi="Arial" w:cs="Arial"/>
        </w:rPr>
      </w:pPr>
    </w:p>
    <w:p w14:paraId="77E69D38" w14:textId="12BAA8CA" w:rsidR="00E533EC" w:rsidRPr="00E533EC" w:rsidRDefault="00E533EC" w:rsidP="00E533EC">
      <w:pPr>
        <w:tabs>
          <w:tab w:val="center" w:pos="6502"/>
        </w:tabs>
        <w:rPr>
          <w:rFonts w:ascii="Arial" w:hAnsi="Arial" w:cs="Arial"/>
        </w:rPr>
        <w:sectPr w:rsidR="00E533EC" w:rsidRPr="00E533EC" w:rsidSect="00ED7946">
          <w:pgSz w:w="15840" w:h="12240" w:orient="landscape"/>
          <w:pgMar w:top="1701" w:right="1418" w:bottom="1469" w:left="1418" w:header="709" w:footer="709" w:gutter="0"/>
          <w:cols w:space="708"/>
          <w:docGrid w:linePitch="360"/>
        </w:sectPr>
      </w:pPr>
      <w:r>
        <w:rPr>
          <w:rFonts w:ascii="Arial" w:hAnsi="Arial" w:cs="Arial"/>
        </w:rPr>
        <w:tab/>
      </w:r>
    </w:p>
    <w:p w14:paraId="1E5EE8F4" w14:textId="50453A74" w:rsidR="00D71E08" w:rsidRDefault="00E533EC" w:rsidP="009D7448">
      <w:pPr>
        <w:jc w:val="both"/>
        <w:rPr>
          <w:rFonts w:ascii="Arial" w:hAnsi="Arial" w:cs="Arial"/>
        </w:rPr>
      </w:pPr>
      <w:r>
        <w:rPr>
          <w:rFonts w:ascii="Arial" w:hAnsi="Arial" w:cs="Arial"/>
        </w:rPr>
        <w:lastRenderedPageBreak/>
        <w:t xml:space="preserve">Cuadro No. 3 Compromisos de los comités, reiterativos </w:t>
      </w:r>
    </w:p>
    <w:tbl>
      <w:tblPr>
        <w:tblW w:w="0" w:type="auto"/>
        <w:tblInd w:w="310" w:type="dxa"/>
        <w:tblCellMar>
          <w:left w:w="0" w:type="dxa"/>
          <w:right w:w="0" w:type="dxa"/>
        </w:tblCellMar>
        <w:tblLook w:val="04A0" w:firstRow="1" w:lastRow="0" w:firstColumn="1" w:lastColumn="0" w:noHBand="0" w:noVBand="1"/>
      </w:tblPr>
      <w:tblGrid>
        <w:gridCol w:w="4069"/>
        <w:gridCol w:w="2326"/>
        <w:gridCol w:w="2347"/>
      </w:tblGrid>
      <w:tr w:rsidR="00E533EC" w:rsidRPr="001778F9" w14:paraId="6883F7E5" w14:textId="77777777" w:rsidTr="00155E06">
        <w:trPr>
          <w:trHeight w:val="373"/>
        </w:trPr>
        <w:tc>
          <w:tcPr>
            <w:tcW w:w="4447" w:type="dxa"/>
            <w:tcBorders>
              <w:top w:val="single" w:sz="8" w:space="0" w:color="ABABAB"/>
              <w:left w:val="single" w:sz="8" w:space="0" w:color="ABABAB"/>
              <w:bottom w:val="single" w:sz="8" w:space="0" w:color="ABABAB"/>
              <w:right w:val="single" w:sz="8" w:space="0" w:color="ABABAB"/>
            </w:tcBorders>
            <w:shd w:val="clear" w:color="auto" w:fill="ABABAB"/>
            <w:tcMar>
              <w:top w:w="15" w:type="dxa"/>
              <w:left w:w="108" w:type="dxa"/>
              <w:bottom w:w="15" w:type="dxa"/>
              <w:right w:w="108" w:type="dxa"/>
            </w:tcMar>
            <w:hideMark/>
          </w:tcPr>
          <w:p w14:paraId="5D426C8C" w14:textId="77777777" w:rsidR="00E533EC" w:rsidRPr="001778F9" w:rsidRDefault="00E533EC" w:rsidP="00650D2A">
            <w:pPr>
              <w:spacing w:line="240" w:lineRule="auto"/>
              <w:rPr>
                <w:i/>
                <w:iCs/>
              </w:rPr>
            </w:pPr>
            <w:r w:rsidRPr="001778F9">
              <w:rPr>
                <w:b/>
                <w:bCs/>
                <w:i/>
                <w:iCs/>
              </w:rPr>
              <w:t>COMPROMISOS</w:t>
            </w:r>
          </w:p>
        </w:tc>
        <w:tc>
          <w:tcPr>
            <w:tcW w:w="2805" w:type="dxa"/>
            <w:tcBorders>
              <w:top w:val="single" w:sz="8" w:space="0" w:color="ABABAB"/>
              <w:bottom w:val="single" w:sz="8" w:space="0" w:color="ABABAB"/>
              <w:right w:val="single" w:sz="8" w:space="0" w:color="ABABAB"/>
            </w:tcBorders>
            <w:shd w:val="clear" w:color="auto" w:fill="ABABAB"/>
            <w:tcMar>
              <w:top w:w="15" w:type="dxa"/>
              <w:left w:w="108" w:type="dxa"/>
              <w:bottom w:w="15" w:type="dxa"/>
              <w:right w:w="108" w:type="dxa"/>
            </w:tcMar>
            <w:hideMark/>
          </w:tcPr>
          <w:p w14:paraId="584B29B9" w14:textId="77777777" w:rsidR="00E533EC" w:rsidRPr="001778F9" w:rsidRDefault="00E533EC" w:rsidP="00650D2A">
            <w:pPr>
              <w:spacing w:line="240" w:lineRule="auto"/>
              <w:rPr>
                <w:i/>
                <w:iCs/>
              </w:rPr>
            </w:pPr>
            <w:r w:rsidRPr="001778F9">
              <w:rPr>
                <w:b/>
                <w:bCs/>
                <w:i/>
                <w:iCs/>
              </w:rPr>
              <w:t>RESPONSABLE</w:t>
            </w:r>
          </w:p>
        </w:tc>
        <w:tc>
          <w:tcPr>
            <w:tcW w:w="2805" w:type="dxa"/>
            <w:tcBorders>
              <w:top w:val="single" w:sz="8" w:space="0" w:color="ABABAB"/>
              <w:bottom w:val="single" w:sz="8" w:space="0" w:color="ABABAB"/>
              <w:right w:val="single" w:sz="8" w:space="0" w:color="ABABAB"/>
            </w:tcBorders>
            <w:shd w:val="clear" w:color="auto" w:fill="ABABAB"/>
            <w:tcMar>
              <w:top w:w="15" w:type="dxa"/>
              <w:left w:w="108" w:type="dxa"/>
              <w:bottom w:w="15" w:type="dxa"/>
              <w:right w:w="108" w:type="dxa"/>
            </w:tcMar>
            <w:hideMark/>
          </w:tcPr>
          <w:p w14:paraId="568C8981" w14:textId="77777777" w:rsidR="00E533EC" w:rsidRPr="001778F9" w:rsidRDefault="00E533EC" w:rsidP="00650D2A">
            <w:pPr>
              <w:spacing w:line="240" w:lineRule="auto"/>
              <w:rPr>
                <w:i/>
                <w:iCs/>
              </w:rPr>
            </w:pPr>
            <w:r w:rsidRPr="001778F9">
              <w:rPr>
                <w:b/>
                <w:bCs/>
                <w:i/>
                <w:iCs/>
              </w:rPr>
              <w:t>CUMPLIMIENTO</w:t>
            </w:r>
          </w:p>
        </w:tc>
      </w:tr>
      <w:tr w:rsidR="00E533EC" w:rsidRPr="001778F9" w14:paraId="0FC8FD59" w14:textId="77777777" w:rsidTr="00650D2A">
        <w:trPr>
          <w:trHeight w:val="1309"/>
        </w:trPr>
        <w:tc>
          <w:tcPr>
            <w:tcW w:w="4447" w:type="dxa"/>
            <w:tcBorders>
              <w:left w:val="single" w:sz="8" w:space="0" w:color="ABABAB"/>
              <w:bottom w:val="single" w:sz="8" w:space="0" w:color="ABABAB"/>
              <w:right w:val="single" w:sz="8" w:space="0" w:color="ABABAB"/>
            </w:tcBorders>
            <w:tcMar>
              <w:top w:w="15" w:type="dxa"/>
              <w:left w:w="108" w:type="dxa"/>
              <w:bottom w:w="15" w:type="dxa"/>
              <w:right w:w="108" w:type="dxa"/>
            </w:tcMar>
            <w:hideMark/>
          </w:tcPr>
          <w:p w14:paraId="29CA0AD2" w14:textId="77777777" w:rsidR="00E533EC" w:rsidRPr="001778F9" w:rsidRDefault="00E533EC" w:rsidP="00650D2A">
            <w:pPr>
              <w:spacing w:line="240" w:lineRule="auto"/>
              <w:jc w:val="both"/>
              <w:rPr>
                <w:i/>
                <w:iCs/>
              </w:rPr>
            </w:pPr>
            <w:r w:rsidRPr="001778F9">
              <w:rPr>
                <w:i/>
                <w:iCs/>
              </w:rPr>
              <w:t>Realizar un oficio y radicarlo a las entidades competentes para que se le notifique que ya la E.S.E San José del Guaviare esta al día con ATX y su apoderada.</w:t>
            </w:r>
          </w:p>
        </w:tc>
        <w:tc>
          <w:tcPr>
            <w:tcW w:w="2805" w:type="dxa"/>
            <w:tcBorders>
              <w:bottom w:val="single" w:sz="8" w:space="0" w:color="ABABAB"/>
              <w:right w:val="single" w:sz="8" w:space="0" w:color="ABABAB"/>
            </w:tcBorders>
            <w:tcMar>
              <w:top w:w="15" w:type="dxa"/>
              <w:left w:w="108" w:type="dxa"/>
              <w:bottom w:w="15" w:type="dxa"/>
              <w:right w:w="108" w:type="dxa"/>
            </w:tcMar>
            <w:hideMark/>
          </w:tcPr>
          <w:p w14:paraId="470DF314" w14:textId="77777777" w:rsidR="00E533EC" w:rsidRPr="001778F9" w:rsidRDefault="00E533EC" w:rsidP="00650D2A">
            <w:pPr>
              <w:spacing w:line="240" w:lineRule="auto"/>
              <w:jc w:val="both"/>
              <w:rPr>
                <w:i/>
                <w:iCs/>
              </w:rPr>
            </w:pPr>
            <w:r w:rsidRPr="001778F9">
              <w:rPr>
                <w:i/>
                <w:iCs/>
              </w:rPr>
              <w:t> </w:t>
            </w:r>
          </w:p>
          <w:p w14:paraId="7D332978" w14:textId="77777777" w:rsidR="00E533EC" w:rsidRPr="001778F9" w:rsidRDefault="00E533EC" w:rsidP="00650D2A">
            <w:pPr>
              <w:spacing w:line="240" w:lineRule="auto"/>
              <w:jc w:val="both"/>
              <w:rPr>
                <w:i/>
                <w:iCs/>
              </w:rPr>
            </w:pPr>
            <w:r w:rsidRPr="001778F9">
              <w:rPr>
                <w:i/>
                <w:iCs/>
              </w:rPr>
              <w:t>Representación Judicial</w:t>
            </w:r>
          </w:p>
        </w:tc>
        <w:tc>
          <w:tcPr>
            <w:tcW w:w="2805" w:type="dxa"/>
            <w:tcBorders>
              <w:bottom w:val="single" w:sz="8" w:space="0" w:color="ABABAB"/>
              <w:right w:val="single" w:sz="8" w:space="0" w:color="ABABAB"/>
            </w:tcBorders>
            <w:tcMar>
              <w:top w:w="15" w:type="dxa"/>
              <w:left w:w="108" w:type="dxa"/>
              <w:bottom w:w="15" w:type="dxa"/>
              <w:right w:w="108" w:type="dxa"/>
            </w:tcMar>
            <w:hideMark/>
          </w:tcPr>
          <w:p w14:paraId="2ECACD51" w14:textId="77777777" w:rsidR="00E533EC" w:rsidRPr="001778F9" w:rsidRDefault="00E533EC" w:rsidP="00650D2A">
            <w:pPr>
              <w:spacing w:line="240" w:lineRule="auto"/>
              <w:jc w:val="both"/>
              <w:rPr>
                <w:i/>
                <w:iCs/>
              </w:rPr>
            </w:pPr>
            <w:r w:rsidRPr="001778F9">
              <w:rPr>
                <w:i/>
                <w:iCs/>
              </w:rPr>
              <w:t> </w:t>
            </w:r>
          </w:p>
          <w:p w14:paraId="3533657B" w14:textId="77777777" w:rsidR="00E533EC" w:rsidRPr="001778F9" w:rsidRDefault="00E533EC" w:rsidP="00650D2A">
            <w:pPr>
              <w:spacing w:line="240" w:lineRule="auto"/>
              <w:jc w:val="both"/>
              <w:rPr>
                <w:i/>
                <w:iCs/>
              </w:rPr>
            </w:pPr>
            <w:r w:rsidRPr="001778F9">
              <w:rPr>
                <w:i/>
                <w:iCs/>
              </w:rPr>
              <w:t>Cumplido parcialmente.</w:t>
            </w:r>
          </w:p>
        </w:tc>
      </w:tr>
      <w:tr w:rsidR="00E533EC" w:rsidRPr="001778F9" w14:paraId="1D1CB24A" w14:textId="77777777" w:rsidTr="00650D2A">
        <w:trPr>
          <w:trHeight w:val="1668"/>
        </w:trPr>
        <w:tc>
          <w:tcPr>
            <w:tcW w:w="4447" w:type="dxa"/>
            <w:tcBorders>
              <w:left w:val="single" w:sz="8" w:space="0" w:color="ABABAB"/>
              <w:bottom w:val="single" w:sz="8" w:space="0" w:color="ABABAB"/>
              <w:right w:val="single" w:sz="8" w:space="0" w:color="ABABAB"/>
            </w:tcBorders>
            <w:tcMar>
              <w:top w:w="15" w:type="dxa"/>
              <w:left w:w="108" w:type="dxa"/>
              <w:bottom w:w="15" w:type="dxa"/>
              <w:right w:w="108" w:type="dxa"/>
            </w:tcMar>
            <w:hideMark/>
          </w:tcPr>
          <w:p w14:paraId="2CABF4C2" w14:textId="77777777" w:rsidR="00E533EC" w:rsidRPr="001778F9" w:rsidRDefault="00E533EC" w:rsidP="00650D2A">
            <w:pPr>
              <w:spacing w:line="240" w:lineRule="auto"/>
              <w:jc w:val="both"/>
              <w:rPr>
                <w:i/>
                <w:iCs/>
              </w:rPr>
            </w:pPr>
            <w:r w:rsidRPr="001778F9">
              <w:rPr>
                <w:i/>
                <w:iCs/>
              </w:rPr>
              <w:t> Una vez realizado el pago total de la obligación generada del proceso </w:t>
            </w:r>
            <w:r w:rsidRPr="001778F9">
              <w:rPr>
                <w:b/>
                <w:bCs/>
                <w:i/>
                <w:iCs/>
              </w:rPr>
              <w:t>50001-33-33-007-2017-00354-01 Sixta Espinosa, </w:t>
            </w:r>
            <w:r w:rsidRPr="001778F9">
              <w:rPr>
                <w:i/>
                <w:iCs/>
              </w:rPr>
              <w:t>se debe presentar ante el comité el respectivo estudio de acción de repetición del caso en concreto.</w:t>
            </w:r>
          </w:p>
        </w:tc>
        <w:tc>
          <w:tcPr>
            <w:tcW w:w="2805" w:type="dxa"/>
            <w:tcBorders>
              <w:bottom w:val="single" w:sz="8" w:space="0" w:color="ABABAB"/>
              <w:right w:val="single" w:sz="8" w:space="0" w:color="ABABAB"/>
            </w:tcBorders>
            <w:tcMar>
              <w:top w:w="15" w:type="dxa"/>
              <w:left w:w="108" w:type="dxa"/>
              <w:bottom w:w="15" w:type="dxa"/>
              <w:right w:w="108" w:type="dxa"/>
            </w:tcMar>
            <w:hideMark/>
          </w:tcPr>
          <w:p w14:paraId="5BD97D82" w14:textId="77777777" w:rsidR="00E533EC" w:rsidRPr="001778F9" w:rsidRDefault="00E533EC" w:rsidP="00650D2A">
            <w:pPr>
              <w:spacing w:line="240" w:lineRule="auto"/>
              <w:jc w:val="both"/>
              <w:rPr>
                <w:i/>
                <w:iCs/>
              </w:rPr>
            </w:pPr>
            <w:r w:rsidRPr="001778F9">
              <w:rPr>
                <w:i/>
                <w:iCs/>
              </w:rPr>
              <w:t> </w:t>
            </w:r>
          </w:p>
          <w:p w14:paraId="41B0C58F" w14:textId="77777777" w:rsidR="00E533EC" w:rsidRPr="001778F9" w:rsidRDefault="00E533EC" w:rsidP="00650D2A">
            <w:pPr>
              <w:spacing w:line="240" w:lineRule="auto"/>
              <w:jc w:val="both"/>
              <w:rPr>
                <w:i/>
                <w:iCs/>
              </w:rPr>
            </w:pPr>
            <w:r w:rsidRPr="001778F9">
              <w:rPr>
                <w:i/>
                <w:iCs/>
              </w:rPr>
              <w:t>Representación Judicial</w:t>
            </w:r>
          </w:p>
        </w:tc>
        <w:tc>
          <w:tcPr>
            <w:tcW w:w="2805" w:type="dxa"/>
            <w:tcBorders>
              <w:bottom w:val="single" w:sz="8" w:space="0" w:color="ABABAB"/>
              <w:right w:val="single" w:sz="8" w:space="0" w:color="ABABAB"/>
            </w:tcBorders>
            <w:tcMar>
              <w:top w:w="15" w:type="dxa"/>
              <w:left w:w="108" w:type="dxa"/>
              <w:bottom w:w="15" w:type="dxa"/>
              <w:right w:w="108" w:type="dxa"/>
            </w:tcMar>
            <w:hideMark/>
          </w:tcPr>
          <w:p w14:paraId="3597D6EA" w14:textId="77777777" w:rsidR="00E533EC" w:rsidRPr="001778F9" w:rsidRDefault="00E533EC" w:rsidP="00650D2A">
            <w:pPr>
              <w:spacing w:line="240" w:lineRule="auto"/>
              <w:jc w:val="both"/>
              <w:rPr>
                <w:i/>
                <w:iCs/>
              </w:rPr>
            </w:pPr>
            <w:r w:rsidRPr="001778F9">
              <w:rPr>
                <w:i/>
                <w:iCs/>
              </w:rPr>
              <w:t>Se le dará cumplimiento una vez este realizado el pago total de la obligación.</w:t>
            </w:r>
          </w:p>
        </w:tc>
      </w:tr>
      <w:tr w:rsidR="00E533EC" w:rsidRPr="001778F9" w14:paraId="090FB91B" w14:textId="77777777" w:rsidTr="00650D2A">
        <w:trPr>
          <w:trHeight w:val="1665"/>
        </w:trPr>
        <w:tc>
          <w:tcPr>
            <w:tcW w:w="4447" w:type="dxa"/>
            <w:tcBorders>
              <w:left w:val="single" w:sz="8" w:space="0" w:color="ABABAB"/>
              <w:bottom w:val="single" w:sz="8" w:space="0" w:color="ABABAB"/>
              <w:right w:val="single" w:sz="8" w:space="0" w:color="ABABAB"/>
            </w:tcBorders>
            <w:tcMar>
              <w:top w:w="15" w:type="dxa"/>
              <w:left w:w="108" w:type="dxa"/>
              <w:bottom w:w="15" w:type="dxa"/>
              <w:right w:w="108" w:type="dxa"/>
            </w:tcMar>
            <w:hideMark/>
          </w:tcPr>
          <w:p w14:paraId="70F08E35" w14:textId="77777777" w:rsidR="00E533EC" w:rsidRPr="001778F9" w:rsidRDefault="00E533EC" w:rsidP="00650D2A">
            <w:pPr>
              <w:spacing w:line="240" w:lineRule="auto"/>
              <w:jc w:val="both"/>
              <w:rPr>
                <w:i/>
                <w:iCs/>
              </w:rPr>
            </w:pPr>
            <w:r w:rsidRPr="001778F9">
              <w:rPr>
                <w:i/>
                <w:iCs/>
              </w:rPr>
              <w:t>Una vez realizado el pago total de la obligación generada del proceso </w:t>
            </w:r>
            <w:r w:rsidRPr="001778F9">
              <w:rPr>
                <w:b/>
                <w:bCs/>
                <w:i/>
                <w:iCs/>
              </w:rPr>
              <w:t>500013333001201800281-00 Oscar Darío Ariza.,</w:t>
            </w:r>
            <w:r w:rsidRPr="001778F9">
              <w:rPr>
                <w:i/>
                <w:iCs/>
              </w:rPr>
              <w:t> se debe presentar ante el comité el respectivo estudio de acción de repetición del caso en concreto.</w:t>
            </w:r>
          </w:p>
        </w:tc>
        <w:tc>
          <w:tcPr>
            <w:tcW w:w="2805" w:type="dxa"/>
            <w:tcBorders>
              <w:bottom w:val="single" w:sz="8" w:space="0" w:color="ABABAB"/>
              <w:right w:val="single" w:sz="8" w:space="0" w:color="ABABAB"/>
            </w:tcBorders>
            <w:tcMar>
              <w:top w:w="15" w:type="dxa"/>
              <w:left w:w="108" w:type="dxa"/>
              <w:bottom w:w="15" w:type="dxa"/>
              <w:right w:w="108" w:type="dxa"/>
            </w:tcMar>
            <w:hideMark/>
          </w:tcPr>
          <w:p w14:paraId="578C727A" w14:textId="77777777" w:rsidR="00E533EC" w:rsidRPr="001778F9" w:rsidRDefault="00E533EC" w:rsidP="00650D2A">
            <w:pPr>
              <w:spacing w:line="240" w:lineRule="auto"/>
              <w:jc w:val="both"/>
              <w:rPr>
                <w:i/>
                <w:iCs/>
              </w:rPr>
            </w:pPr>
            <w:r w:rsidRPr="001778F9">
              <w:rPr>
                <w:i/>
                <w:iCs/>
              </w:rPr>
              <w:t> </w:t>
            </w:r>
          </w:p>
          <w:p w14:paraId="42108976" w14:textId="77777777" w:rsidR="00E533EC" w:rsidRPr="001778F9" w:rsidRDefault="00E533EC" w:rsidP="00650D2A">
            <w:pPr>
              <w:spacing w:line="240" w:lineRule="auto"/>
              <w:jc w:val="both"/>
              <w:rPr>
                <w:i/>
                <w:iCs/>
              </w:rPr>
            </w:pPr>
            <w:r w:rsidRPr="001778F9">
              <w:rPr>
                <w:i/>
                <w:iCs/>
              </w:rPr>
              <w:t> Representación Judicial</w:t>
            </w:r>
          </w:p>
        </w:tc>
        <w:tc>
          <w:tcPr>
            <w:tcW w:w="2805" w:type="dxa"/>
            <w:tcBorders>
              <w:bottom w:val="single" w:sz="8" w:space="0" w:color="ABABAB"/>
              <w:right w:val="single" w:sz="8" w:space="0" w:color="ABABAB"/>
            </w:tcBorders>
            <w:tcMar>
              <w:top w:w="15" w:type="dxa"/>
              <w:left w:w="108" w:type="dxa"/>
              <w:bottom w:w="15" w:type="dxa"/>
              <w:right w:w="108" w:type="dxa"/>
            </w:tcMar>
            <w:hideMark/>
          </w:tcPr>
          <w:p w14:paraId="0F76573A" w14:textId="77777777" w:rsidR="00E533EC" w:rsidRPr="001778F9" w:rsidRDefault="00E533EC" w:rsidP="00650D2A">
            <w:pPr>
              <w:spacing w:line="240" w:lineRule="auto"/>
              <w:jc w:val="both"/>
              <w:rPr>
                <w:i/>
                <w:iCs/>
              </w:rPr>
            </w:pPr>
            <w:r w:rsidRPr="001778F9">
              <w:rPr>
                <w:i/>
                <w:iCs/>
              </w:rPr>
              <w:t> </w:t>
            </w:r>
          </w:p>
          <w:p w14:paraId="49FCFA00" w14:textId="77777777" w:rsidR="00E533EC" w:rsidRPr="001778F9" w:rsidRDefault="00E533EC" w:rsidP="00650D2A">
            <w:pPr>
              <w:spacing w:line="240" w:lineRule="auto"/>
              <w:jc w:val="both"/>
              <w:rPr>
                <w:i/>
                <w:iCs/>
              </w:rPr>
            </w:pPr>
            <w:r w:rsidRPr="001778F9">
              <w:rPr>
                <w:i/>
                <w:iCs/>
              </w:rPr>
              <w:t>Se le dará cumplimiento una vez este realizado el pago total de la obligación.</w:t>
            </w:r>
          </w:p>
        </w:tc>
      </w:tr>
      <w:tr w:rsidR="00E533EC" w:rsidRPr="001778F9" w14:paraId="2E9A0E4E" w14:textId="77777777" w:rsidTr="00650D2A">
        <w:trPr>
          <w:trHeight w:val="2051"/>
        </w:trPr>
        <w:tc>
          <w:tcPr>
            <w:tcW w:w="4447" w:type="dxa"/>
            <w:tcBorders>
              <w:left w:val="single" w:sz="8" w:space="0" w:color="ABABAB"/>
              <w:bottom w:val="single" w:sz="8" w:space="0" w:color="auto"/>
              <w:right w:val="single" w:sz="8" w:space="0" w:color="ABABAB"/>
            </w:tcBorders>
            <w:tcMar>
              <w:top w:w="15" w:type="dxa"/>
              <w:left w:w="108" w:type="dxa"/>
              <w:bottom w:w="15" w:type="dxa"/>
              <w:right w:w="108" w:type="dxa"/>
            </w:tcMar>
            <w:hideMark/>
          </w:tcPr>
          <w:p w14:paraId="3B3CF1E3" w14:textId="77777777" w:rsidR="00E533EC" w:rsidRPr="001778F9" w:rsidRDefault="00E533EC" w:rsidP="00650D2A">
            <w:pPr>
              <w:spacing w:line="240" w:lineRule="auto"/>
              <w:jc w:val="both"/>
              <w:rPr>
                <w:i/>
                <w:iCs/>
              </w:rPr>
            </w:pPr>
            <w:r w:rsidRPr="001778F9">
              <w:rPr>
                <w:i/>
                <w:iCs/>
              </w:rPr>
              <w:t> Una vez realizado el pago total de la obligación generada del proceso </w:t>
            </w:r>
            <w:r w:rsidRPr="001778F9">
              <w:rPr>
                <w:b/>
                <w:bCs/>
                <w:i/>
                <w:iCs/>
              </w:rPr>
              <w:t>50001333300820200004400 AAACPT CONSULTORES S.A.S.,</w:t>
            </w:r>
            <w:r w:rsidRPr="001778F9">
              <w:rPr>
                <w:i/>
                <w:iCs/>
              </w:rPr>
              <w:t> se debe presentar ante el comité el respectivo estudio de acción de repetición del caso en concreto.</w:t>
            </w:r>
          </w:p>
        </w:tc>
        <w:tc>
          <w:tcPr>
            <w:tcW w:w="2805" w:type="dxa"/>
            <w:tcBorders>
              <w:bottom w:val="single" w:sz="8" w:space="0" w:color="auto"/>
              <w:right w:val="single" w:sz="8" w:space="0" w:color="ABABAB"/>
            </w:tcBorders>
            <w:tcMar>
              <w:top w:w="15" w:type="dxa"/>
              <w:left w:w="108" w:type="dxa"/>
              <w:bottom w:w="15" w:type="dxa"/>
              <w:right w:w="108" w:type="dxa"/>
            </w:tcMar>
            <w:hideMark/>
          </w:tcPr>
          <w:p w14:paraId="2C186A55" w14:textId="77777777" w:rsidR="00E533EC" w:rsidRPr="001778F9" w:rsidRDefault="00E533EC" w:rsidP="00650D2A">
            <w:pPr>
              <w:spacing w:line="240" w:lineRule="auto"/>
              <w:jc w:val="both"/>
              <w:rPr>
                <w:i/>
                <w:iCs/>
              </w:rPr>
            </w:pPr>
            <w:r w:rsidRPr="001778F9">
              <w:rPr>
                <w:i/>
                <w:iCs/>
              </w:rPr>
              <w:t> </w:t>
            </w:r>
          </w:p>
          <w:p w14:paraId="3FB402B0" w14:textId="77777777" w:rsidR="00E533EC" w:rsidRPr="001778F9" w:rsidRDefault="00E533EC" w:rsidP="00650D2A">
            <w:pPr>
              <w:spacing w:line="240" w:lineRule="auto"/>
              <w:jc w:val="both"/>
              <w:rPr>
                <w:i/>
                <w:iCs/>
              </w:rPr>
            </w:pPr>
            <w:r w:rsidRPr="001778F9">
              <w:rPr>
                <w:i/>
                <w:iCs/>
              </w:rPr>
              <w:t> Representación Judicial</w:t>
            </w:r>
          </w:p>
        </w:tc>
        <w:tc>
          <w:tcPr>
            <w:tcW w:w="2805" w:type="dxa"/>
            <w:tcBorders>
              <w:bottom w:val="single" w:sz="8" w:space="0" w:color="auto"/>
              <w:right w:val="single" w:sz="8" w:space="0" w:color="ABABAB"/>
            </w:tcBorders>
            <w:tcMar>
              <w:top w:w="15" w:type="dxa"/>
              <w:left w:w="108" w:type="dxa"/>
              <w:bottom w:w="15" w:type="dxa"/>
              <w:right w:w="108" w:type="dxa"/>
            </w:tcMar>
            <w:hideMark/>
          </w:tcPr>
          <w:p w14:paraId="77D80289" w14:textId="77777777" w:rsidR="00E533EC" w:rsidRPr="001778F9" w:rsidRDefault="00E533EC" w:rsidP="00650D2A">
            <w:pPr>
              <w:spacing w:line="240" w:lineRule="auto"/>
              <w:jc w:val="both"/>
              <w:rPr>
                <w:i/>
                <w:iCs/>
              </w:rPr>
            </w:pPr>
            <w:r w:rsidRPr="001778F9">
              <w:rPr>
                <w:i/>
                <w:iCs/>
              </w:rPr>
              <w:t> </w:t>
            </w:r>
          </w:p>
          <w:p w14:paraId="7E055BA7" w14:textId="0D979EFE" w:rsidR="00E533EC" w:rsidRPr="001778F9" w:rsidRDefault="00E533EC" w:rsidP="00650D2A">
            <w:pPr>
              <w:spacing w:line="240" w:lineRule="auto"/>
              <w:jc w:val="both"/>
              <w:rPr>
                <w:i/>
                <w:iCs/>
              </w:rPr>
            </w:pPr>
            <w:r w:rsidRPr="001778F9">
              <w:rPr>
                <w:i/>
                <w:iCs/>
              </w:rPr>
              <w:t>Se le dará cumplimiento una vez este realizado el pago total de la obligación.</w:t>
            </w:r>
          </w:p>
        </w:tc>
      </w:tr>
      <w:tr w:rsidR="00E533EC" w:rsidRPr="001778F9" w14:paraId="27708AE5" w14:textId="77777777" w:rsidTr="00155E06">
        <w:trPr>
          <w:trHeight w:val="705"/>
        </w:trPr>
        <w:tc>
          <w:tcPr>
            <w:tcW w:w="4447" w:type="dxa"/>
            <w:tcBorders>
              <w:left w:val="single" w:sz="8" w:space="0" w:color="ABABAB"/>
              <w:bottom w:val="single" w:sz="8" w:space="0" w:color="auto"/>
              <w:right w:val="single" w:sz="8" w:space="0" w:color="ABABAB"/>
            </w:tcBorders>
            <w:tcMar>
              <w:top w:w="15" w:type="dxa"/>
              <w:left w:w="108" w:type="dxa"/>
              <w:bottom w:w="15" w:type="dxa"/>
              <w:right w:w="108" w:type="dxa"/>
            </w:tcMar>
            <w:hideMark/>
          </w:tcPr>
          <w:p w14:paraId="67238AE5" w14:textId="77777777" w:rsidR="00E533EC" w:rsidRPr="001778F9" w:rsidRDefault="00E533EC" w:rsidP="00650D2A">
            <w:pPr>
              <w:spacing w:line="240" w:lineRule="auto"/>
              <w:jc w:val="both"/>
              <w:rPr>
                <w:i/>
                <w:iCs/>
              </w:rPr>
            </w:pPr>
            <w:r w:rsidRPr="001778F9">
              <w:rPr>
                <w:i/>
                <w:iCs/>
              </w:rPr>
              <w:t>Realizar la actualización del cuadro de probabilidades.</w:t>
            </w:r>
          </w:p>
        </w:tc>
        <w:tc>
          <w:tcPr>
            <w:tcW w:w="2805" w:type="dxa"/>
            <w:tcBorders>
              <w:bottom w:val="single" w:sz="8" w:space="0" w:color="auto"/>
              <w:right w:val="single" w:sz="8" w:space="0" w:color="ABABAB"/>
            </w:tcBorders>
            <w:tcMar>
              <w:top w:w="15" w:type="dxa"/>
              <w:left w:w="108" w:type="dxa"/>
              <w:bottom w:w="15" w:type="dxa"/>
              <w:right w:w="108" w:type="dxa"/>
            </w:tcMar>
            <w:hideMark/>
          </w:tcPr>
          <w:p w14:paraId="599454BF" w14:textId="77777777" w:rsidR="00E533EC" w:rsidRPr="001778F9" w:rsidRDefault="00E533EC" w:rsidP="00650D2A">
            <w:pPr>
              <w:spacing w:line="240" w:lineRule="auto"/>
              <w:jc w:val="both"/>
              <w:rPr>
                <w:i/>
                <w:iCs/>
              </w:rPr>
            </w:pPr>
            <w:r w:rsidRPr="001778F9">
              <w:rPr>
                <w:i/>
                <w:iCs/>
              </w:rPr>
              <w:t>Representación Judicial</w:t>
            </w:r>
          </w:p>
        </w:tc>
        <w:tc>
          <w:tcPr>
            <w:tcW w:w="2805" w:type="dxa"/>
            <w:tcBorders>
              <w:bottom w:val="single" w:sz="8" w:space="0" w:color="auto"/>
              <w:right w:val="single" w:sz="8" w:space="0" w:color="ABABAB"/>
            </w:tcBorders>
            <w:tcMar>
              <w:top w:w="15" w:type="dxa"/>
              <w:left w:w="108" w:type="dxa"/>
              <w:bottom w:w="15" w:type="dxa"/>
              <w:right w:w="108" w:type="dxa"/>
            </w:tcMar>
            <w:hideMark/>
          </w:tcPr>
          <w:p w14:paraId="2A841042" w14:textId="77777777" w:rsidR="00E533EC" w:rsidRPr="001778F9" w:rsidRDefault="00E533EC" w:rsidP="00650D2A">
            <w:pPr>
              <w:spacing w:line="240" w:lineRule="auto"/>
              <w:jc w:val="both"/>
              <w:rPr>
                <w:i/>
                <w:iCs/>
              </w:rPr>
            </w:pPr>
            <w:r w:rsidRPr="001778F9">
              <w:rPr>
                <w:i/>
                <w:iCs/>
              </w:rPr>
              <w:t>Pendiente</w:t>
            </w:r>
          </w:p>
        </w:tc>
      </w:tr>
      <w:tr w:rsidR="00E533EC" w:rsidRPr="001778F9" w14:paraId="54665E03" w14:textId="77777777" w:rsidTr="00155E06">
        <w:trPr>
          <w:trHeight w:val="705"/>
        </w:trPr>
        <w:tc>
          <w:tcPr>
            <w:tcW w:w="4447" w:type="dxa"/>
            <w:tcBorders>
              <w:left w:val="single" w:sz="8" w:space="0" w:color="ABABAB"/>
              <w:bottom w:val="single" w:sz="8" w:space="0" w:color="auto"/>
              <w:right w:val="single" w:sz="8" w:space="0" w:color="ABABAB"/>
            </w:tcBorders>
            <w:tcMar>
              <w:top w:w="15" w:type="dxa"/>
              <w:left w:w="108" w:type="dxa"/>
              <w:bottom w:w="15" w:type="dxa"/>
              <w:right w:w="108" w:type="dxa"/>
            </w:tcMar>
            <w:hideMark/>
          </w:tcPr>
          <w:p w14:paraId="238D41A5" w14:textId="77777777" w:rsidR="00E533EC" w:rsidRPr="001778F9" w:rsidRDefault="00E533EC" w:rsidP="00650D2A">
            <w:pPr>
              <w:spacing w:line="240" w:lineRule="auto"/>
              <w:jc w:val="both"/>
              <w:rPr>
                <w:i/>
                <w:iCs/>
              </w:rPr>
            </w:pPr>
            <w:r w:rsidRPr="001778F9">
              <w:rPr>
                <w:i/>
                <w:iCs/>
              </w:rPr>
              <w:t>Formular el procedimiento de recursos para los procesos ejecutivos</w:t>
            </w:r>
          </w:p>
        </w:tc>
        <w:tc>
          <w:tcPr>
            <w:tcW w:w="2805" w:type="dxa"/>
            <w:tcBorders>
              <w:bottom w:val="single" w:sz="8" w:space="0" w:color="auto"/>
              <w:right w:val="single" w:sz="8" w:space="0" w:color="ABABAB"/>
            </w:tcBorders>
            <w:tcMar>
              <w:top w:w="15" w:type="dxa"/>
              <w:left w:w="108" w:type="dxa"/>
              <w:bottom w:w="15" w:type="dxa"/>
              <w:right w:w="108" w:type="dxa"/>
            </w:tcMar>
            <w:hideMark/>
          </w:tcPr>
          <w:p w14:paraId="7D1C113B" w14:textId="77777777" w:rsidR="00E533EC" w:rsidRPr="001778F9" w:rsidRDefault="00E533EC" w:rsidP="00650D2A">
            <w:pPr>
              <w:spacing w:line="240" w:lineRule="auto"/>
              <w:jc w:val="both"/>
              <w:rPr>
                <w:i/>
                <w:iCs/>
              </w:rPr>
            </w:pPr>
            <w:r w:rsidRPr="001778F9">
              <w:rPr>
                <w:i/>
                <w:iCs/>
              </w:rPr>
              <w:t>Jurídica - Cartera</w:t>
            </w:r>
          </w:p>
        </w:tc>
        <w:tc>
          <w:tcPr>
            <w:tcW w:w="2805" w:type="dxa"/>
            <w:tcBorders>
              <w:bottom w:val="single" w:sz="8" w:space="0" w:color="auto"/>
              <w:right w:val="single" w:sz="8" w:space="0" w:color="ABABAB"/>
            </w:tcBorders>
            <w:tcMar>
              <w:top w:w="15" w:type="dxa"/>
              <w:left w:w="108" w:type="dxa"/>
              <w:bottom w:w="15" w:type="dxa"/>
              <w:right w:w="108" w:type="dxa"/>
            </w:tcMar>
            <w:hideMark/>
          </w:tcPr>
          <w:p w14:paraId="38CE10C6" w14:textId="080FD6FC" w:rsidR="00E533EC" w:rsidRPr="001778F9" w:rsidRDefault="00E533EC" w:rsidP="00650D2A">
            <w:pPr>
              <w:spacing w:line="240" w:lineRule="auto"/>
              <w:jc w:val="both"/>
              <w:rPr>
                <w:i/>
                <w:iCs/>
              </w:rPr>
            </w:pPr>
          </w:p>
        </w:tc>
      </w:tr>
      <w:tr w:rsidR="00E533EC" w:rsidRPr="001778F9" w14:paraId="023331FD" w14:textId="77777777" w:rsidTr="00155E06">
        <w:trPr>
          <w:trHeight w:val="510"/>
        </w:trPr>
        <w:tc>
          <w:tcPr>
            <w:tcW w:w="4447" w:type="dxa"/>
            <w:tcBorders>
              <w:left w:val="single" w:sz="8" w:space="0" w:color="ABABAB"/>
              <w:bottom w:val="single" w:sz="8" w:space="0" w:color="auto"/>
              <w:right w:val="single" w:sz="8" w:space="0" w:color="ABABAB"/>
            </w:tcBorders>
            <w:tcMar>
              <w:top w:w="15" w:type="dxa"/>
              <w:left w:w="108" w:type="dxa"/>
              <w:bottom w:w="15" w:type="dxa"/>
              <w:right w:w="108" w:type="dxa"/>
            </w:tcMar>
            <w:hideMark/>
          </w:tcPr>
          <w:p w14:paraId="60BCD585" w14:textId="3F55E4E5" w:rsidR="00E533EC" w:rsidRPr="001778F9" w:rsidRDefault="00E533EC" w:rsidP="00650D2A">
            <w:pPr>
              <w:spacing w:line="240" w:lineRule="auto"/>
              <w:jc w:val="both"/>
              <w:rPr>
                <w:i/>
                <w:iCs/>
              </w:rPr>
            </w:pPr>
            <w:r w:rsidRPr="001778F9">
              <w:rPr>
                <w:i/>
                <w:iCs/>
              </w:rPr>
              <w:t xml:space="preserve">Radicación del proceso ejecutivo </w:t>
            </w:r>
            <w:proofErr w:type="spellStart"/>
            <w:r w:rsidRPr="001778F9">
              <w:rPr>
                <w:i/>
                <w:iCs/>
              </w:rPr>
              <w:t>Medimas</w:t>
            </w:r>
            <w:proofErr w:type="spellEnd"/>
            <w:r w:rsidRPr="001778F9">
              <w:rPr>
                <w:i/>
                <w:iCs/>
              </w:rPr>
              <w:t xml:space="preserve"> el día 29 de noviembre 2024</w:t>
            </w:r>
            <w:r w:rsidR="00650D2A">
              <w:rPr>
                <w:i/>
                <w:iCs/>
              </w:rPr>
              <w:t>.</w:t>
            </w:r>
          </w:p>
        </w:tc>
        <w:tc>
          <w:tcPr>
            <w:tcW w:w="2805" w:type="dxa"/>
            <w:tcBorders>
              <w:bottom w:val="single" w:sz="8" w:space="0" w:color="auto"/>
              <w:right w:val="single" w:sz="8" w:space="0" w:color="ABABAB"/>
            </w:tcBorders>
            <w:tcMar>
              <w:top w:w="15" w:type="dxa"/>
              <w:left w:w="108" w:type="dxa"/>
              <w:bottom w:w="15" w:type="dxa"/>
              <w:right w:w="108" w:type="dxa"/>
            </w:tcMar>
            <w:hideMark/>
          </w:tcPr>
          <w:p w14:paraId="475846D4" w14:textId="77777777" w:rsidR="00E533EC" w:rsidRPr="001778F9" w:rsidRDefault="00E533EC" w:rsidP="00650D2A">
            <w:pPr>
              <w:spacing w:line="240" w:lineRule="auto"/>
              <w:jc w:val="both"/>
              <w:rPr>
                <w:i/>
                <w:iCs/>
              </w:rPr>
            </w:pPr>
            <w:r w:rsidRPr="001778F9">
              <w:rPr>
                <w:i/>
                <w:iCs/>
              </w:rPr>
              <w:t>Representación Judicial</w:t>
            </w:r>
          </w:p>
        </w:tc>
        <w:tc>
          <w:tcPr>
            <w:tcW w:w="2805" w:type="dxa"/>
            <w:tcBorders>
              <w:bottom w:val="single" w:sz="8" w:space="0" w:color="auto"/>
              <w:right w:val="single" w:sz="8" w:space="0" w:color="ABABAB"/>
            </w:tcBorders>
            <w:tcMar>
              <w:top w:w="15" w:type="dxa"/>
              <w:left w:w="108" w:type="dxa"/>
              <w:bottom w:w="15" w:type="dxa"/>
              <w:right w:w="108" w:type="dxa"/>
            </w:tcMar>
            <w:hideMark/>
          </w:tcPr>
          <w:p w14:paraId="20A201FE" w14:textId="77777777" w:rsidR="00E533EC" w:rsidRPr="001778F9" w:rsidRDefault="00E533EC" w:rsidP="00650D2A">
            <w:pPr>
              <w:spacing w:line="240" w:lineRule="auto"/>
              <w:jc w:val="both"/>
              <w:rPr>
                <w:i/>
                <w:iCs/>
              </w:rPr>
            </w:pPr>
            <w:r w:rsidRPr="001778F9">
              <w:rPr>
                <w:i/>
                <w:iCs/>
              </w:rPr>
              <w:t> </w:t>
            </w:r>
          </w:p>
        </w:tc>
      </w:tr>
      <w:tr w:rsidR="00E533EC" w:rsidRPr="001778F9" w14:paraId="6E33091F" w14:textId="77777777" w:rsidTr="00650D2A">
        <w:trPr>
          <w:trHeight w:val="770"/>
        </w:trPr>
        <w:tc>
          <w:tcPr>
            <w:tcW w:w="4447" w:type="dxa"/>
            <w:tcBorders>
              <w:left w:val="single" w:sz="8" w:space="0" w:color="ABABAB"/>
              <w:bottom w:val="single" w:sz="8" w:space="0" w:color="auto"/>
              <w:right w:val="single" w:sz="8" w:space="0" w:color="ABABAB"/>
            </w:tcBorders>
            <w:tcMar>
              <w:top w:w="15" w:type="dxa"/>
              <w:left w:w="108" w:type="dxa"/>
              <w:bottom w:w="15" w:type="dxa"/>
              <w:right w:w="108" w:type="dxa"/>
            </w:tcMar>
            <w:hideMark/>
          </w:tcPr>
          <w:p w14:paraId="011159AE" w14:textId="77777777" w:rsidR="00E533EC" w:rsidRPr="001778F9" w:rsidRDefault="00E533EC" w:rsidP="00650D2A">
            <w:pPr>
              <w:spacing w:line="240" w:lineRule="auto"/>
              <w:jc w:val="both"/>
              <w:rPr>
                <w:i/>
                <w:iCs/>
              </w:rPr>
            </w:pPr>
            <w:r w:rsidRPr="001778F9">
              <w:rPr>
                <w:i/>
                <w:iCs/>
              </w:rPr>
              <w:t xml:space="preserve">Mesa de trabajo el día 18 de noviembre a las 2:00 </w:t>
            </w:r>
            <w:proofErr w:type="spellStart"/>
            <w:r w:rsidRPr="001778F9">
              <w:rPr>
                <w:i/>
                <w:iCs/>
              </w:rPr>
              <w:t>p.m</w:t>
            </w:r>
            <w:proofErr w:type="spellEnd"/>
          </w:p>
        </w:tc>
        <w:tc>
          <w:tcPr>
            <w:tcW w:w="2805" w:type="dxa"/>
            <w:tcBorders>
              <w:bottom w:val="single" w:sz="8" w:space="0" w:color="auto"/>
              <w:right w:val="single" w:sz="8" w:space="0" w:color="ABABAB"/>
            </w:tcBorders>
            <w:tcMar>
              <w:top w:w="15" w:type="dxa"/>
              <w:left w:w="108" w:type="dxa"/>
              <w:bottom w:w="15" w:type="dxa"/>
              <w:right w:w="108" w:type="dxa"/>
            </w:tcMar>
            <w:hideMark/>
          </w:tcPr>
          <w:p w14:paraId="11AA267B" w14:textId="77777777" w:rsidR="00E533EC" w:rsidRPr="001778F9" w:rsidRDefault="00E533EC" w:rsidP="00650D2A">
            <w:pPr>
              <w:spacing w:line="240" w:lineRule="auto"/>
              <w:jc w:val="both"/>
              <w:rPr>
                <w:i/>
                <w:iCs/>
              </w:rPr>
            </w:pPr>
            <w:r w:rsidRPr="001778F9">
              <w:rPr>
                <w:i/>
                <w:iCs/>
              </w:rPr>
              <w:t>Representación Judicial- Cartera- auditoria medica</w:t>
            </w:r>
          </w:p>
        </w:tc>
        <w:tc>
          <w:tcPr>
            <w:tcW w:w="2805" w:type="dxa"/>
            <w:tcBorders>
              <w:bottom w:val="single" w:sz="8" w:space="0" w:color="auto"/>
              <w:right w:val="single" w:sz="8" w:space="0" w:color="ABABAB"/>
            </w:tcBorders>
            <w:tcMar>
              <w:top w:w="15" w:type="dxa"/>
              <w:left w:w="108" w:type="dxa"/>
              <w:bottom w:w="15" w:type="dxa"/>
              <w:right w:w="108" w:type="dxa"/>
            </w:tcMar>
            <w:hideMark/>
          </w:tcPr>
          <w:p w14:paraId="479304FC" w14:textId="77777777" w:rsidR="00E533EC" w:rsidRPr="001778F9" w:rsidRDefault="00E533EC" w:rsidP="00650D2A">
            <w:pPr>
              <w:spacing w:line="240" w:lineRule="auto"/>
              <w:rPr>
                <w:i/>
                <w:iCs/>
              </w:rPr>
            </w:pPr>
            <w:r w:rsidRPr="001778F9">
              <w:rPr>
                <w:i/>
                <w:iCs/>
              </w:rPr>
              <w:t> </w:t>
            </w:r>
          </w:p>
        </w:tc>
      </w:tr>
      <w:tr w:rsidR="00E533EC" w:rsidRPr="001778F9" w14:paraId="3E391308" w14:textId="77777777" w:rsidTr="00650D2A">
        <w:trPr>
          <w:trHeight w:val="869"/>
        </w:trPr>
        <w:tc>
          <w:tcPr>
            <w:tcW w:w="4447" w:type="dxa"/>
            <w:tcBorders>
              <w:left w:val="single" w:sz="8" w:space="0" w:color="ABABAB"/>
              <w:bottom w:val="single" w:sz="8" w:space="0" w:color="ABABAB"/>
              <w:right w:val="single" w:sz="8" w:space="0" w:color="ABABAB"/>
            </w:tcBorders>
            <w:tcMar>
              <w:top w:w="15" w:type="dxa"/>
              <w:left w:w="108" w:type="dxa"/>
              <w:bottom w:w="15" w:type="dxa"/>
              <w:right w:w="108" w:type="dxa"/>
            </w:tcMar>
            <w:hideMark/>
          </w:tcPr>
          <w:p w14:paraId="36F1EAEA" w14:textId="77777777" w:rsidR="00E533EC" w:rsidRPr="001778F9" w:rsidRDefault="00E533EC" w:rsidP="00650D2A">
            <w:pPr>
              <w:spacing w:line="240" w:lineRule="auto"/>
              <w:jc w:val="both"/>
              <w:rPr>
                <w:i/>
                <w:iCs/>
              </w:rPr>
            </w:pPr>
            <w:r w:rsidRPr="001778F9">
              <w:rPr>
                <w:i/>
                <w:iCs/>
              </w:rPr>
              <w:lastRenderedPageBreak/>
              <w:t xml:space="preserve">Enviar información en editable a la representación judicial el </w:t>
            </w:r>
            <w:proofErr w:type="spellStart"/>
            <w:r w:rsidRPr="001778F9">
              <w:rPr>
                <w:i/>
                <w:iCs/>
              </w:rPr>
              <w:t>dia</w:t>
            </w:r>
            <w:proofErr w:type="spellEnd"/>
            <w:r w:rsidRPr="001778F9">
              <w:rPr>
                <w:i/>
                <w:iCs/>
              </w:rPr>
              <w:t xml:space="preserve"> 14 de noviembre de 2024</w:t>
            </w:r>
          </w:p>
        </w:tc>
        <w:tc>
          <w:tcPr>
            <w:tcW w:w="2805" w:type="dxa"/>
            <w:tcBorders>
              <w:bottom w:val="single" w:sz="8" w:space="0" w:color="ABABAB"/>
              <w:right w:val="single" w:sz="8" w:space="0" w:color="ABABAB"/>
            </w:tcBorders>
            <w:tcMar>
              <w:top w:w="15" w:type="dxa"/>
              <w:left w:w="108" w:type="dxa"/>
              <w:bottom w:w="15" w:type="dxa"/>
              <w:right w:w="108" w:type="dxa"/>
            </w:tcMar>
            <w:hideMark/>
          </w:tcPr>
          <w:p w14:paraId="79CDE833" w14:textId="77777777" w:rsidR="00E533EC" w:rsidRPr="001778F9" w:rsidRDefault="00E533EC" w:rsidP="00650D2A">
            <w:pPr>
              <w:spacing w:line="240" w:lineRule="auto"/>
              <w:jc w:val="both"/>
              <w:rPr>
                <w:i/>
                <w:iCs/>
              </w:rPr>
            </w:pPr>
            <w:r w:rsidRPr="001778F9">
              <w:rPr>
                <w:i/>
                <w:iCs/>
              </w:rPr>
              <w:t>Cartera</w:t>
            </w:r>
          </w:p>
        </w:tc>
        <w:tc>
          <w:tcPr>
            <w:tcW w:w="2805" w:type="dxa"/>
            <w:tcBorders>
              <w:bottom w:val="single" w:sz="8" w:space="0" w:color="ABABAB"/>
              <w:right w:val="single" w:sz="8" w:space="0" w:color="ABABAB"/>
            </w:tcBorders>
            <w:tcMar>
              <w:top w:w="15" w:type="dxa"/>
              <w:left w:w="108" w:type="dxa"/>
              <w:bottom w:w="15" w:type="dxa"/>
              <w:right w:w="108" w:type="dxa"/>
            </w:tcMar>
            <w:hideMark/>
          </w:tcPr>
          <w:p w14:paraId="6B51DA85" w14:textId="77777777" w:rsidR="00E533EC" w:rsidRPr="001778F9" w:rsidRDefault="00E533EC" w:rsidP="00650D2A">
            <w:pPr>
              <w:spacing w:line="240" w:lineRule="auto"/>
              <w:rPr>
                <w:i/>
                <w:iCs/>
              </w:rPr>
            </w:pPr>
            <w:r w:rsidRPr="001778F9">
              <w:rPr>
                <w:i/>
                <w:iCs/>
              </w:rPr>
              <w:t> </w:t>
            </w:r>
          </w:p>
        </w:tc>
      </w:tr>
    </w:tbl>
    <w:p w14:paraId="736AA4D5" w14:textId="0D06E787" w:rsidR="00E533EC" w:rsidRDefault="0038782C" w:rsidP="009D7448">
      <w:pPr>
        <w:jc w:val="both"/>
        <w:rPr>
          <w:rFonts w:ascii="Arial" w:hAnsi="Arial" w:cs="Arial"/>
        </w:rPr>
      </w:pPr>
      <w:r w:rsidRPr="0038782C">
        <w:rPr>
          <w:rFonts w:ascii="Arial" w:hAnsi="Arial" w:cs="Arial"/>
          <w:sz w:val="16"/>
          <w:szCs w:val="16"/>
        </w:rPr>
        <w:t>Fuente: Correo Comité de Conciliación y Defensa Judicial. (</w:t>
      </w:r>
      <w:proofErr w:type="gramStart"/>
      <w:r w:rsidRPr="0038782C">
        <w:rPr>
          <w:rFonts w:ascii="Arial" w:hAnsi="Arial" w:cs="Arial"/>
          <w:sz w:val="16"/>
          <w:szCs w:val="16"/>
        </w:rPr>
        <w:t>Secretaria</w:t>
      </w:r>
      <w:proofErr w:type="gramEnd"/>
      <w:r w:rsidRPr="0038782C">
        <w:rPr>
          <w:rFonts w:ascii="Arial" w:hAnsi="Arial" w:cs="Arial"/>
          <w:sz w:val="16"/>
          <w:szCs w:val="16"/>
        </w:rPr>
        <w:t xml:space="preserve"> </w:t>
      </w:r>
      <w:proofErr w:type="spellStart"/>
      <w:r w:rsidRPr="0038782C">
        <w:rPr>
          <w:rFonts w:ascii="Arial" w:hAnsi="Arial" w:cs="Arial"/>
          <w:sz w:val="16"/>
          <w:szCs w:val="16"/>
        </w:rPr>
        <w:t>Ténica</w:t>
      </w:r>
      <w:proofErr w:type="spellEnd"/>
      <w:r>
        <w:rPr>
          <w:rFonts w:ascii="Arial" w:hAnsi="Arial" w:cs="Arial"/>
        </w:rPr>
        <w:t xml:space="preserve">) </w:t>
      </w:r>
    </w:p>
    <w:p w14:paraId="0C11D858" w14:textId="749551C6" w:rsidR="00A838A6" w:rsidRPr="005D6375" w:rsidRDefault="00A838A6" w:rsidP="005D6375">
      <w:pPr>
        <w:jc w:val="both"/>
        <w:rPr>
          <w:rFonts w:ascii="Arial" w:hAnsi="Arial" w:cs="Arial"/>
          <w:b/>
          <w:bCs/>
        </w:rPr>
      </w:pPr>
      <w:r w:rsidRPr="00C333D9">
        <w:rPr>
          <w:rFonts w:ascii="Arial" w:hAnsi="Arial" w:cs="Arial"/>
          <w:b/>
          <w:bCs/>
        </w:rPr>
        <w:t xml:space="preserve">Análisis del cuadro No 2. </w:t>
      </w:r>
    </w:p>
    <w:p w14:paraId="1A12664A" w14:textId="03855DDF" w:rsidR="00A838A6" w:rsidRDefault="00A838A6" w:rsidP="00A838A6">
      <w:pPr>
        <w:pStyle w:val="Prrafodelista"/>
        <w:numPr>
          <w:ilvl w:val="0"/>
          <w:numId w:val="16"/>
        </w:numPr>
        <w:jc w:val="both"/>
        <w:rPr>
          <w:rFonts w:ascii="Arial" w:hAnsi="Arial" w:cs="Arial"/>
        </w:rPr>
      </w:pPr>
      <w:r>
        <w:rPr>
          <w:rFonts w:ascii="Arial" w:hAnsi="Arial" w:cs="Arial"/>
        </w:rPr>
        <w:t xml:space="preserve">El Comité desarrollo en el segundo semestre 2024, 8 comités ordinarios, </w:t>
      </w:r>
      <w:r w:rsidR="00A8475E">
        <w:rPr>
          <w:rFonts w:ascii="Arial" w:hAnsi="Arial" w:cs="Arial"/>
        </w:rPr>
        <w:t>4 de ellos fueron virtuales. De acuerdo a esto, se puede señalar que no hubo</w:t>
      </w:r>
      <w:r>
        <w:rPr>
          <w:rFonts w:ascii="Arial" w:hAnsi="Arial" w:cs="Arial"/>
        </w:rPr>
        <w:t xml:space="preserve"> alcance a lo establecido por el reglamento interno, el cual determina un mínimo de 2 comités por mes. </w:t>
      </w:r>
    </w:p>
    <w:p w14:paraId="4EEAEF36" w14:textId="07562DE4" w:rsidR="00A838A6" w:rsidRDefault="00A838A6" w:rsidP="00A838A6">
      <w:pPr>
        <w:pStyle w:val="Prrafodelista"/>
        <w:numPr>
          <w:ilvl w:val="0"/>
          <w:numId w:val="16"/>
        </w:numPr>
        <w:jc w:val="both"/>
        <w:rPr>
          <w:rFonts w:ascii="Arial" w:hAnsi="Arial" w:cs="Arial"/>
        </w:rPr>
      </w:pPr>
      <w:r>
        <w:rPr>
          <w:rFonts w:ascii="Arial" w:hAnsi="Arial" w:cs="Arial"/>
        </w:rPr>
        <w:t xml:space="preserve">De </w:t>
      </w:r>
      <w:r w:rsidR="00DD1D8A">
        <w:rPr>
          <w:rFonts w:ascii="Arial" w:hAnsi="Arial" w:cs="Arial"/>
        </w:rPr>
        <w:t>los 8 Comités desarrollados</w:t>
      </w:r>
      <w:r w:rsidR="00F80D11">
        <w:rPr>
          <w:rFonts w:ascii="Arial" w:hAnsi="Arial" w:cs="Arial"/>
        </w:rPr>
        <w:t>, no se evidencia actas de ningún comité.</w:t>
      </w:r>
      <w:r>
        <w:rPr>
          <w:rFonts w:ascii="Arial" w:hAnsi="Arial" w:cs="Arial"/>
        </w:rPr>
        <w:t xml:space="preserve"> </w:t>
      </w:r>
    </w:p>
    <w:p w14:paraId="58306F1A" w14:textId="703678E1" w:rsidR="00CA7B17" w:rsidRPr="00C333D9" w:rsidRDefault="0058734C" w:rsidP="006F6D8C">
      <w:pPr>
        <w:pStyle w:val="Prrafodelista"/>
        <w:numPr>
          <w:ilvl w:val="0"/>
          <w:numId w:val="16"/>
        </w:numPr>
        <w:jc w:val="both"/>
        <w:rPr>
          <w:rFonts w:ascii="Arial" w:hAnsi="Arial" w:cs="Arial"/>
        </w:rPr>
      </w:pPr>
      <w:r>
        <w:rPr>
          <w:rFonts w:ascii="Arial" w:hAnsi="Arial" w:cs="Arial"/>
        </w:rPr>
        <w:t xml:space="preserve">Se observa incumplimiento reiterativo frente a los compromisos adquiridos en el marco del Comité, como también en </w:t>
      </w:r>
      <w:r w:rsidR="00C333D9">
        <w:rPr>
          <w:rFonts w:ascii="Arial" w:hAnsi="Arial" w:cs="Arial"/>
        </w:rPr>
        <w:t>envió</w:t>
      </w:r>
      <w:r>
        <w:rPr>
          <w:rFonts w:ascii="Arial" w:hAnsi="Arial" w:cs="Arial"/>
        </w:rPr>
        <w:t xml:space="preserve"> de las fichas técnicas, de manera especial por el </w:t>
      </w:r>
      <w:r w:rsidRPr="00C333D9">
        <w:rPr>
          <w:rFonts w:ascii="Arial" w:hAnsi="Arial" w:cs="Arial"/>
        </w:rPr>
        <w:t>representante judicial / Abogada contratista de la Entidad.</w:t>
      </w:r>
    </w:p>
    <w:p w14:paraId="408F2432" w14:textId="4124938B" w:rsidR="006F6D8C" w:rsidRPr="00C333D9" w:rsidRDefault="006F6D8C" w:rsidP="00790DB6">
      <w:pPr>
        <w:pStyle w:val="Prrafodelista"/>
        <w:numPr>
          <w:ilvl w:val="0"/>
          <w:numId w:val="16"/>
        </w:numPr>
        <w:jc w:val="both"/>
        <w:rPr>
          <w:rFonts w:ascii="Arial" w:hAnsi="Arial" w:cs="Arial"/>
        </w:rPr>
      </w:pPr>
      <w:r w:rsidRPr="00C333D9">
        <w:rPr>
          <w:rFonts w:ascii="Arial" w:hAnsi="Arial" w:cs="Arial"/>
        </w:rPr>
        <w:t>Se observa en los compromisos</w:t>
      </w:r>
      <w:r w:rsidR="00E70659" w:rsidRPr="00C333D9">
        <w:rPr>
          <w:rFonts w:ascii="Arial" w:hAnsi="Arial" w:cs="Arial"/>
        </w:rPr>
        <w:t xml:space="preserve"> que además del incumplimiento durante casi todo el II semestre, es decir trasladándose el mismo compromiso comité tras comité</w:t>
      </w:r>
      <w:r w:rsidR="000C5238" w:rsidRPr="00C333D9">
        <w:rPr>
          <w:rFonts w:ascii="Arial" w:hAnsi="Arial" w:cs="Arial"/>
        </w:rPr>
        <w:t>;</w:t>
      </w:r>
      <w:r w:rsidR="00E70659" w:rsidRPr="00C333D9">
        <w:rPr>
          <w:rFonts w:ascii="Arial" w:hAnsi="Arial" w:cs="Arial"/>
        </w:rPr>
        <w:t xml:space="preserve"> se advierte que varios de</w:t>
      </w:r>
      <w:r w:rsidR="000C5238" w:rsidRPr="00C333D9">
        <w:rPr>
          <w:rFonts w:ascii="Arial" w:hAnsi="Arial" w:cs="Arial"/>
        </w:rPr>
        <w:t xml:space="preserve"> los compromisos </w:t>
      </w:r>
      <w:r w:rsidR="00E70659" w:rsidRPr="00C333D9">
        <w:rPr>
          <w:rFonts w:ascii="Arial" w:hAnsi="Arial" w:cs="Arial"/>
        </w:rPr>
        <w:t>refieren a actuaciones correspondientes al estudio de procedencia para el medio de control de acción de repetición</w:t>
      </w:r>
      <w:r w:rsidR="000C5238" w:rsidRPr="00C333D9">
        <w:rPr>
          <w:rFonts w:ascii="Arial" w:hAnsi="Arial" w:cs="Arial"/>
        </w:rPr>
        <w:t xml:space="preserve"> y allí mismo indican que: </w:t>
      </w:r>
      <w:r w:rsidR="000C5238" w:rsidRPr="00C333D9">
        <w:rPr>
          <w:rFonts w:ascii="Arial" w:hAnsi="Arial" w:cs="Arial"/>
          <w:i/>
          <w:iCs/>
        </w:rPr>
        <w:t>“Se le dará cumplimiento una vez este realizado el pago total de la obligación”</w:t>
      </w:r>
      <w:r w:rsidR="000C5238" w:rsidRPr="00C333D9">
        <w:rPr>
          <w:rFonts w:ascii="Arial" w:hAnsi="Arial" w:cs="Arial"/>
        </w:rPr>
        <w:t xml:space="preserve">. Dicho esto, </w:t>
      </w:r>
      <w:r w:rsidR="00E70659" w:rsidRPr="00C333D9">
        <w:rPr>
          <w:rFonts w:ascii="Arial" w:hAnsi="Arial" w:cs="Arial"/>
        </w:rPr>
        <w:t>hay dos puntos a considerar, intervenir y mejorar por los miembros del Comité: el primero refiere al proceso con radicado N° 50 001 33 33 007 2017 00354 00 de la señora Sixta Espinosa, en tanto que desde el 9 de julio de 2024 se efectuó el pago total</w:t>
      </w:r>
      <w:r w:rsidR="000C5238" w:rsidRPr="00C333D9">
        <w:rPr>
          <w:rFonts w:ascii="Arial" w:hAnsi="Arial" w:cs="Arial"/>
        </w:rPr>
        <w:t xml:space="preserve">. El segundo es que no se observa actuaciones con el proceso </w:t>
      </w:r>
      <w:r w:rsidR="00790DB6" w:rsidRPr="00C333D9">
        <w:rPr>
          <w:rFonts w:ascii="Arial" w:hAnsi="Arial" w:cs="Arial"/>
        </w:rPr>
        <w:t xml:space="preserve">No. 50001 33 31 003 2012 00074 00 Demandante PEDRO ALIRIO VACA CASTAÑEDA Y OTROS, teniendo en cuenta que el pago total de este fue el 17 de mayo de 2024. </w:t>
      </w:r>
      <w:r w:rsidR="000C5238" w:rsidRPr="00C333D9">
        <w:rPr>
          <w:rFonts w:ascii="Arial" w:hAnsi="Arial" w:cs="Arial"/>
        </w:rPr>
        <w:t xml:space="preserve"> </w:t>
      </w:r>
      <w:r w:rsidR="00E70659" w:rsidRPr="00C333D9">
        <w:rPr>
          <w:rFonts w:ascii="Arial" w:hAnsi="Arial" w:cs="Arial"/>
        </w:rPr>
        <w:t xml:space="preserve"> </w:t>
      </w:r>
    </w:p>
    <w:p w14:paraId="6B8AE33D" w14:textId="6EDD1CA9" w:rsidR="00A838A6" w:rsidRPr="00C333D9" w:rsidRDefault="00790DB6" w:rsidP="00A838A6">
      <w:pPr>
        <w:pStyle w:val="Prrafodelista"/>
        <w:numPr>
          <w:ilvl w:val="0"/>
          <w:numId w:val="16"/>
        </w:numPr>
        <w:jc w:val="both"/>
        <w:rPr>
          <w:rFonts w:ascii="Arial" w:hAnsi="Arial" w:cs="Arial"/>
        </w:rPr>
      </w:pPr>
      <w:r w:rsidRPr="00C333D9">
        <w:rPr>
          <w:rFonts w:ascii="Arial" w:hAnsi="Arial" w:cs="Arial"/>
        </w:rPr>
        <w:t>No se observan listados de asistencia</w:t>
      </w:r>
      <w:r w:rsidR="00A838A6" w:rsidRPr="00C333D9">
        <w:rPr>
          <w:rFonts w:ascii="Arial" w:hAnsi="Arial" w:cs="Arial"/>
        </w:rPr>
        <w:t>.</w:t>
      </w:r>
    </w:p>
    <w:p w14:paraId="7AFEF863" w14:textId="20108445" w:rsidR="007753C7" w:rsidRDefault="00A47B09" w:rsidP="00D3627E">
      <w:pPr>
        <w:pStyle w:val="Prrafodelista"/>
        <w:numPr>
          <w:ilvl w:val="0"/>
          <w:numId w:val="16"/>
        </w:numPr>
        <w:jc w:val="both"/>
        <w:rPr>
          <w:rFonts w:ascii="Arial" w:hAnsi="Arial" w:cs="Arial"/>
        </w:rPr>
      </w:pPr>
      <w:r w:rsidRPr="00C333D9">
        <w:rPr>
          <w:rFonts w:ascii="Arial" w:hAnsi="Arial" w:cs="Arial"/>
        </w:rPr>
        <w:t xml:space="preserve">De manera positiva, se evidencian actuaciones activas y propositivas en pro </w:t>
      </w:r>
      <w:r w:rsidRPr="00B97495">
        <w:rPr>
          <w:rFonts w:ascii="Arial" w:hAnsi="Arial" w:cs="Arial"/>
        </w:rPr>
        <w:t>del cumplimiento para las sesiones ordinarias del Comité, como también el ejercicio de seguimiento, alistamiento y dinamismo para el desar</w:t>
      </w:r>
      <w:r w:rsidR="00B97495" w:rsidRPr="00B97495">
        <w:rPr>
          <w:rFonts w:ascii="Arial" w:hAnsi="Arial" w:cs="Arial"/>
        </w:rPr>
        <w:t>rollo del Comité, sin embargo, es claro que no es suficiente, puesto que la eficiencia, efectividad y oportunidad del comité requiere el compromiso de todos los miembros del Comité.</w:t>
      </w:r>
    </w:p>
    <w:p w14:paraId="6AE7BFA8" w14:textId="77777777" w:rsidR="0038782C" w:rsidRPr="00D3627E" w:rsidRDefault="0038782C" w:rsidP="0038782C">
      <w:pPr>
        <w:pStyle w:val="Prrafodelista"/>
        <w:jc w:val="both"/>
        <w:rPr>
          <w:rFonts w:ascii="Arial" w:hAnsi="Arial" w:cs="Arial"/>
        </w:rPr>
      </w:pPr>
    </w:p>
    <w:p w14:paraId="20114929" w14:textId="1AEBF22C" w:rsidR="000B54E2" w:rsidRPr="0038782C" w:rsidRDefault="001E7FE2" w:rsidP="0038782C">
      <w:pPr>
        <w:pStyle w:val="Prrafodelista"/>
        <w:numPr>
          <w:ilvl w:val="0"/>
          <w:numId w:val="28"/>
        </w:numPr>
        <w:jc w:val="both"/>
        <w:rPr>
          <w:rFonts w:ascii="Arial" w:hAnsi="Arial" w:cs="Arial"/>
          <w:b/>
        </w:rPr>
      </w:pPr>
      <w:r w:rsidRPr="0038782C">
        <w:rPr>
          <w:rFonts w:ascii="Arial" w:hAnsi="Arial" w:cs="Arial"/>
          <w:b/>
        </w:rPr>
        <w:t>Funciones del Comité de Conciliación (Art. 2.2.4.3.1.2.5 Decreto. 1069 de 2015).</w:t>
      </w:r>
    </w:p>
    <w:p w14:paraId="523074BF" w14:textId="77777777" w:rsidR="0057289E" w:rsidRPr="001163A1" w:rsidRDefault="0057289E" w:rsidP="0057289E">
      <w:pPr>
        <w:jc w:val="both"/>
        <w:rPr>
          <w:rFonts w:ascii="Arial" w:hAnsi="Arial" w:cs="Arial"/>
          <w:i/>
        </w:rPr>
      </w:pPr>
      <w:r w:rsidRPr="001163A1">
        <w:rPr>
          <w:rFonts w:ascii="Arial" w:hAnsi="Arial" w:cs="Arial"/>
        </w:rPr>
        <w:t>El Comité de Conciliación</w:t>
      </w:r>
      <w:r w:rsidR="00027D77">
        <w:rPr>
          <w:rFonts w:ascii="Arial" w:hAnsi="Arial" w:cs="Arial"/>
        </w:rPr>
        <w:t xml:space="preserve"> y Defensa Judicial,</w:t>
      </w:r>
      <w:r w:rsidRPr="001163A1">
        <w:rPr>
          <w:rFonts w:ascii="Arial" w:hAnsi="Arial" w:cs="Arial"/>
        </w:rPr>
        <w:t xml:space="preserve"> en cumplimien</w:t>
      </w:r>
      <w:r>
        <w:rPr>
          <w:rFonts w:ascii="Arial" w:hAnsi="Arial" w:cs="Arial"/>
        </w:rPr>
        <w:t xml:space="preserve">to del Artículo 2.2.4.3.1.2.5. </w:t>
      </w:r>
      <w:r w:rsidRPr="001163A1">
        <w:rPr>
          <w:rFonts w:ascii="Arial" w:hAnsi="Arial" w:cs="Arial"/>
        </w:rPr>
        <w:t xml:space="preserve">del Decreto 1069 de 2015, dentro de sus funciones, se encuentran entre otras: </w:t>
      </w:r>
      <w:r w:rsidRPr="001163A1">
        <w:rPr>
          <w:rFonts w:ascii="Arial" w:hAnsi="Arial" w:cs="Arial"/>
          <w:i/>
        </w:rPr>
        <w:t xml:space="preserve">“1. Formular y ejecutar políticas de prevención del daño antijurídico. 2. Diseñar las políticas generales que orientarán la defensa de los intereses de la entidad.” </w:t>
      </w:r>
    </w:p>
    <w:p w14:paraId="27FBAED6" w14:textId="5188111D" w:rsidR="001A2AF9" w:rsidRPr="001163A1" w:rsidRDefault="0057289E" w:rsidP="001A2AF9">
      <w:pPr>
        <w:jc w:val="both"/>
        <w:rPr>
          <w:rFonts w:ascii="Arial" w:hAnsi="Arial" w:cs="Arial"/>
        </w:rPr>
      </w:pPr>
      <w:r w:rsidRPr="001163A1">
        <w:rPr>
          <w:rFonts w:ascii="Arial" w:hAnsi="Arial" w:cs="Arial"/>
        </w:rPr>
        <w:lastRenderedPageBreak/>
        <w:t xml:space="preserve">Con base en lo anterior la Oficina de Control Interno, evidencia </w:t>
      </w:r>
      <w:r w:rsidR="00FF228B">
        <w:rPr>
          <w:rFonts w:ascii="Arial" w:hAnsi="Arial" w:cs="Arial"/>
        </w:rPr>
        <w:t xml:space="preserve">la creación de la </w:t>
      </w:r>
      <w:r w:rsidR="00FF228B" w:rsidRPr="00CD68CE">
        <w:rPr>
          <w:rFonts w:ascii="Arial" w:hAnsi="Arial" w:cs="Arial"/>
          <w:b/>
        </w:rPr>
        <w:t xml:space="preserve">Política de </w:t>
      </w:r>
      <w:r w:rsidR="00983C96">
        <w:rPr>
          <w:rFonts w:ascii="Arial" w:hAnsi="Arial" w:cs="Arial"/>
          <w:b/>
        </w:rPr>
        <w:t>P</w:t>
      </w:r>
      <w:r w:rsidR="00FF228B" w:rsidRPr="00CD68CE">
        <w:rPr>
          <w:rFonts w:ascii="Arial" w:hAnsi="Arial" w:cs="Arial"/>
          <w:b/>
        </w:rPr>
        <w:t xml:space="preserve">revención del </w:t>
      </w:r>
      <w:r w:rsidR="00983C96">
        <w:rPr>
          <w:rFonts w:ascii="Arial" w:hAnsi="Arial" w:cs="Arial"/>
          <w:b/>
        </w:rPr>
        <w:t>D</w:t>
      </w:r>
      <w:r w:rsidR="00FF228B" w:rsidRPr="00CD68CE">
        <w:rPr>
          <w:rFonts w:ascii="Arial" w:hAnsi="Arial" w:cs="Arial"/>
          <w:b/>
        </w:rPr>
        <w:t xml:space="preserve">año </w:t>
      </w:r>
      <w:r w:rsidR="00983C96">
        <w:rPr>
          <w:rFonts w:ascii="Arial" w:hAnsi="Arial" w:cs="Arial"/>
          <w:b/>
        </w:rPr>
        <w:t>A</w:t>
      </w:r>
      <w:r w:rsidR="00FF228B" w:rsidRPr="00CD68CE">
        <w:rPr>
          <w:rFonts w:ascii="Arial" w:hAnsi="Arial" w:cs="Arial"/>
          <w:b/>
        </w:rPr>
        <w:t>ntijurídico</w:t>
      </w:r>
      <w:r w:rsidR="00FF228B">
        <w:rPr>
          <w:rFonts w:ascii="Arial" w:hAnsi="Arial" w:cs="Arial"/>
        </w:rPr>
        <w:t xml:space="preserve"> la cual fue adoptada por la </w:t>
      </w:r>
      <w:r w:rsidR="00001575">
        <w:rPr>
          <w:rFonts w:ascii="Arial" w:hAnsi="Arial" w:cs="Arial"/>
        </w:rPr>
        <w:t xml:space="preserve">Resolución </w:t>
      </w:r>
      <w:r w:rsidR="00FF228B">
        <w:rPr>
          <w:rFonts w:ascii="Arial" w:hAnsi="Arial" w:cs="Arial"/>
        </w:rPr>
        <w:t xml:space="preserve">N° 0520 del </w:t>
      </w:r>
      <w:r w:rsidR="00983C96">
        <w:rPr>
          <w:rFonts w:ascii="Arial" w:hAnsi="Arial" w:cs="Arial"/>
        </w:rPr>
        <w:t xml:space="preserve">28/10/2020. Sin embargo, </w:t>
      </w:r>
      <w:r w:rsidR="00FF228B">
        <w:rPr>
          <w:rFonts w:ascii="Arial" w:hAnsi="Arial" w:cs="Arial"/>
        </w:rPr>
        <w:t xml:space="preserve">se evidencia </w:t>
      </w:r>
      <w:r w:rsidR="001A2AF9">
        <w:rPr>
          <w:rFonts w:ascii="Arial" w:hAnsi="Arial" w:cs="Arial"/>
        </w:rPr>
        <w:t>que la Resolución de aprobación relacionada en la Política (N° 0836 de 2020) no es correcta</w:t>
      </w:r>
      <w:r w:rsidR="00983C96">
        <w:rPr>
          <w:rFonts w:ascii="Arial" w:hAnsi="Arial" w:cs="Arial"/>
        </w:rPr>
        <w:t xml:space="preserve"> pues allí no se hace relación a </w:t>
      </w:r>
      <w:r w:rsidR="00737CF1">
        <w:rPr>
          <w:rFonts w:ascii="Arial" w:hAnsi="Arial" w:cs="Arial"/>
        </w:rPr>
        <w:t>esta</w:t>
      </w:r>
      <w:r w:rsidR="00983C96">
        <w:rPr>
          <w:rFonts w:ascii="Arial" w:hAnsi="Arial" w:cs="Arial"/>
        </w:rPr>
        <w:t xml:space="preserve"> política, así mismo se observa inconsistencia en las fechas, toda vez que la política tiene fecha 30 de diciembre de 2020 y la Resolución de adopción (N° 0520 de 2020) es de fecha 28 de octubre de 2020. </w:t>
      </w:r>
      <w:r w:rsidR="00D30446">
        <w:rPr>
          <w:rFonts w:ascii="Arial" w:hAnsi="Arial" w:cs="Arial"/>
        </w:rPr>
        <w:t xml:space="preserve"> Por lo anterior se recomienda la actualización de la política. </w:t>
      </w:r>
    </w:p>
    <w:p w14:paraId="7D6F0D59" w14:textId="23D6475F" w:rsidR="00CD68CE" w:rsidRDefault="00644C57" w:rsidP="0057289E">
      <w:pPr>
        <w:jc w:val="both"/>
        <w:rPr>
          <w:rFonts w:ascii="Arial" w:hAnsi="Arial" w:cs="Arial"/>
        </w:rPr>
      </w:pPr>
      <w:r>
        <w:rPr>
          <w:rFonts w:ascii="Arial" w:hAnsi="Arial" w:cs="Arial"/>
        </w:rPr>
        <w:t>Respecto la función</w:t>
      </w:r>
      <w:r w:rsidR="00F77300">
        <w:rPr>
          <w:rFonts w:ascii="Arial" w:hAnsi="Arial" w:cs="Arial"/>
        </w:rPr>
        <w:t xml:space="preserve"> tercera</w:t>
      </w:r>
      <w:r w:rsidR="00CD68CE">
        <w:rPr>
          <w:rFonts w:ascii="Arial" w:hAnsi="Arial" w:cs="Arial"/>
        </w:rPr>
        <w:t xml:space="preserve"> </w:t>
      </w:r>
      <w:r w:rsidR="00CD68CE" w:rsidRPr="001163A1">
        <w:rPr>
          <w:rFonts w:ascii="Arial" w:hAnsi="Arial" w:cs="Arial"/>
          <w:i/>
        </w:rPr>
        <w:t>“Estudiar y evaluar los procesos que cursen o hayan cursado en contra del ente, para determinar las causas generadoras de los conflictos; el índice de condenas; los tipos de daño por los cuales resulta demandado o condenado; y las deficiencias en las actuaciones administrativas de las entidades, así como las deficiencias de las actuaciones procesales por parte de los apoderados, con el objeto de proponer correctivos.”</w:t>
      </w:r>
      <w:r w:rsidR="00CD68CE">
        <w:rPr>
          <w:rFonts w:ascii="Arial" w:hAnsi="Arial" w:cs="Arial"/>
        </w:rPr>
        <w:t xml:space="preserve"> </w:t>
      </w:r>
      <w:r w:rsidR="00D30446">
        <w:rPr>
          <w:rFonts w:ascii="Arial" w:hAnsi="Arial" w:cs="Arial"/>
        </w:rPr>
        <w:t xml:space="preserve">Ante </w:t>
      </w:r>
      <w:r w:rsidR="0038782C">
        <w:rPr>
          <w:rFonts w:ascii="Arial" w:hAnsi="Arial" w:cs="Arial"/>
        </w:rPr>
        <w:t>esta</w:t>
      </w:r>
      <w:r w:rsidR="00D30446">
        <w:rPr>
          <w:rFonts w:ascii="Arial" w:hAnsi="Arial" w:cs="Arial"/>
        </w:rPr>
        <w:t xml:space="preserve"> función se recomienda al comité incorporar en la actualización de la política actividades concretas que den alcance a lo aquí señalado.</w:t>
      </w:r>
      <w:r w:rsidR="00CD68CE" w:rsidRPr="001163A1">
        <w:rPr>
          <w:rFonts w:ascii="Arial" w:hAnsi="Arial" w:cs="Arial"/>
        </w:rPr>
        <w:t xml:space="preserve"> </w:t>
      </w:r>
    </w:p>
    <w:p w14:paraId="286005B8" w14:textId="1F6F1756" w:rsidR="004C0683" w:rsidRDefault="0057289E" w:rsidP="0057289E">
      <w:pPr>
        <w:jc w:val="both"/>
        <w:rPr>
          <w:rFonts w:ascii="Arial" w:hAnsi="Arial" w:cs="Arial"/>
        </w:rPr>
      </w:pPr>
      <w:r w:rsidRPr="001163A1">
        <w:rPr>
          <w:rFonts w:ascii="Arial" w:hAnsi="Arial" w:cs="Arial"/>
        </w:rPr>
        <w:t xml:space="preserve">Frente a la función octava la cual establece </w:t>
      </w:r>
      <w:r w:rsidRPr="001163A1">
        <w:rPr>
          <w:rFonts w:ascii="Arial" w:hAnsi="Arial" w:cs="Arial"/>
          <w:i/>
        </w:rPr>
        <w:t>“Definir los criterios para la selección de abogados externos que garanticen su idoneidad para la defensa de los intereses públicos y realizar seguimiento sobre los procesos a ellos encomendados”, e</w:t>
      </w:r>
      <w:r w:rsidRPr="001163A1">
        <w:rPr>
          <w:rFonts w:ascii="Arial" w:hAnsi="Arial" w:cs="Arial"/>
        </w:rPr>
        <w:t xml:space="preserve">n el seguimiento </w:t>
      </w:r>
      <w:r w:rsidR="00204C62">
        <w:rPr>
          <w:rFonts w:ascii="Arial" w:hAnsi="Arial" w:cs="Arial"/>
        </w:rPr>
        <w:t>y verificad</w:t>
      </w:r>
      <w:r w:rsidR="008F7EBF">
        <w:rPr>
          <w:rFonts w:ascii="Arial" w:hAnsi="Arial" w:cs="Arial"/>
        </w:rPr>
        <w:t>a</w:t>
      </w:r>
      <w:r w:rsidR="00204C62">
        <w:rPr>
          <w:rFonts w:ascii="Arial" w:hAnsi="Arial" w:cs="Arial"/>
        </w:rPr>
        <w:t xml:space="preserve"> las bases de datos y de control de contratos celebrado</w:t>
      </w:r>
      <w:r w:rsidR="008F7EBF">
        <w:rPr>
          <w:rFonts w:ascii="Arial" w:hAnsi="Arial" w:cs="Arial"/>
        </w:rPr>
        <w:t>s por</w:t>
      </w:r>
      <w:r w:rsidR="00204C62">
        <w:rPr>
          <w:rFonts w:ascii="Arial" w:hAnsi="Arial" w:cs="Arial"/>
        </w:rPr>
        <w:t xml:space="preserve"> </w:t>
      </w:r>
      <w:r w:rsidR="008F7EBF">
        <w:rPr>
          <w:rFonts w:ascii="Arial" w:hAnsi="Arial" w:cs="Arial"/>
        </w:rPr>
        <w:t>la ESE Hospital SJG</w:t>
      </w:r>
      <w:r w:rsidR="00204C62">
        <w:rPr>
          <w:rFonts w:ascii="Arial" w:hAnsi="Arial" w:cs="Arial"/>
        </w:rPr>
        <w:t xml:space="preserve">, se evidencia que </w:t>
      </w:r>
      <w:r w:rsidR="00515B4B">
        <w:rPr>
          <w:rFonts w:ascii="Arial" w:hAnsi="Arial" w:cs="Arial"/>
        </w:rPr>
        <w:t>para el segundo semestre de la vigencia 2024</w:t>
      </w:r>
      <w:r w:rsidR="005D6375">
        <w:rPr>
          <w:rFonts w:ascii="Arial" w:hAnsi="Arial" w:cs="Arial"/>
        </w:rPr>
        <w:t>,</w:t>
      </w:r>
      <w:r w:rsidR="00515B4B">
        <w:rPr>
          <w:rFonts w:ascii="Arial" w:hAnsi="Arial" w:cs="Arial"/>
        </w:rPr>
        <w:t xml:space="preserve"> la Entidad continuó con la Representante Judicial, sin embargo se observa una sesión del contrato de la Dra. </w:t>
      </w:r>
      <w:r w:rsidR="00515B4B" w:rsidRPr="000B54E2">
        <w:rPr>
          <w:rFonts w:ascii="Arial" w:hAnsi="Arial" w:cs="Arial"/>
        </w:rPr>
        <w:t>YENITH PAOLA CAICEDO PEDRAZA</w:t>
      </w:r>
      <w:r w:rsidR="00515B4B">
        <w:rPr>
          <w:rFonts w:ascii="Arial" w:hAnsi="Arial" w:cs="Arial"/>
        </w:rPr>
        <w:t xml:space="preserve"> al Dr. SERGIO ANDRES ALDANA SALGADO, y a la fecha de la emisión del presente informe, se evidencia el cambio del abogado externo para representación judicial de la Entidad. De acuerdo a las novedades descritas en los puntos anteriores respecto al representante judicial de la Entidad, como también a la autonomía de la Entidad, se respeta y valora las decisiones tomadas frente a ello, sin embargo se recomienda tener en cuenta lo indicado en este punto frente a la contratación del abogado externo para la representación judicial, dada la importancia del proceso, máxime cuando estos procesos judiciales  representan un posible riesgo de convertirse en un pasivo financiero de la Entidad</w:t>
      </w:r>
      <w:r w:rsidR="004C0683">
        <w:rPr>
          <w:rFonts w:ascii="Arial" w:hAnsi="Arial" w:cs="Arial"/>
        </w:rPr>
        <w:t xml:space="preserve">. </w:t>
      </w:r>
    </w:p>
    <w:p w14:paraId="06C83D63" w14:textId="3B2A88C5" w:rsidR="003D6D6F" w:rsidRDefault="0057289E" w:rsidP="003D6D6F">
      <w:pPr>
        <w:jc w:val="both"/>
        <w:rPr>
          <w:rFonts w:ascii="Arial" w:hAnsi="Arial" w:cs="Arial"/>
        </w:rPr>
      </w:pPr>
      <w:r w:rsidRPr="001163A1">
        <w:rPr>
          <w:rFonts w:ascii="Arial" w:hAnsi="Arial" w:cs="Arial"/>
        </w:rPr>
        <w:t>El Comité de Conciliación</w:t>
      </w:r>
      <w:r w:rsidR="00027D77">
        <w:rPr>
          <w:rFonts w:ascii="Arial" w:hAnsi="Arial" w:cs="Arial"/>
        </w:rPr>
        <w:t xml:space="preserve"> y Defensa Judicial,</w:t>
      </w:r>
      <w:r w:rsidRPr="001163A1">
        <w:rPr>
          <w:rFonts w:ascii="Arial" w:hAnsi="Arial" w:cs="Arial"/>
        </w:rPr>
        <w:t xml:space="preserve"> tiene como </w:t>
      </w:r>
      <w:r w:rsidR="00027D77" w:rsidRPr="001163A1">
        <w:rPr>
          <w:rFonts w:ascii="Arial" w:hAnsi="Arial" w:cs="Arial"/>
        </w:rPr>
        <w:t>función</w:t>
      </w:r>
      <w:r w:rsidRPr="001163A1">
        <w:rPr>
          <w:rFonts w:ascii="Arial" w:hAnsi="Arial" w:cs="Arial"/>
        </w:rPr>
        <w:t xml:space="preserve"> la designación de la </w:t>
      </w:r>
      <w:r w:rsidR="00E30ACE">
        <w:rPr>
          <w:rFonts w:ascii="Arial" w:hAnsi="Arial" w:cs="Arial"/>
        </w:rPr>
        <w:t>S</w:t>
      </w:r>
      <w:r w:rsidR="006F127C" w:rsidRPr="001163A1">
        <w:rPr>
          <w:rFonts w:ascii="Arial" w:hAnsi="Arial" w:cs="Arial"/>
        </w:rPr>
        <w:t>ecretaria técnica</w:t>
      </w:r>
      <w:r w:rsidRPr="001163A1">
        <w:rPr>
          <w:rFonts w:ascii="Arial" w:hAnsi="Arial" w:cs="Arial"/>
        </w:rPr>
        <w:t xml:space="preserve">, teniendo en cuenta que </w:t>
      </w:r>
      <w:r w:rsidR="004C0683">
        <w:rPr>
          <w:rFonts w:ascii="Arial" w:hAnsi="Arial" w:cs="Arial"/>
        </w:rPr>
        <w:t>la ESE Hospital SJG</w:t>
      </w:r>
      <w:r w:rsidR="00027D77">
        <w:rPr>
          <w:rFonts w:ascii="Arial" w:hAnsi="Arial" w:cs="Arial"/>
        </w:rPr>
        <w:t>,</w:t>
      </w:r>
      <w:r w:rsidR="004C0683">
        <w:rPr>
          <w:rFonts w:ascii="Arial" w:hAnsi="Arial" w:cs="Arial"/>
        </w:rPr>
        <w:t xml:space="preserve"> </w:t>
      </w:r>
      <w:r w:rsidR="00CD5915">
        <w:rPr>
          <w:rFonts w:ascii="Arial" w:hAnsi="Arial" w:cs="Arial"/>
        </w:rPr>
        <w:t>Sobre este particular se advierte, que desde la abril de 2023</w:t>
      </w:r>
      <w:r w:rsidR="005D6375">
        <w:rPr>
          <w:rFonts w:ascii="Arial" w:hAnsi="Arial" w:cs="Arial"/>
        </w:rPr>
        <w:t>,</w:t>
      </w:r>
      <w:r w:rsidR="00CD5915">
        <w:rPr>
          <w:rFonts w:ascii="Arial" w:hAnsi="Arial" w:cs="Arial"/>
        </w:rPr>
        <w:t xml:space="preserve"> en el marco del Comité de Conciliación y Defensa Judicial fue aprobada la decisión  de asignar como Secretaria Técnica del Comité de Conciliación y Defensa Judicial la Dra. Daniela Alejandra Ramírez Vera, jefe de la Oficina de Control Interno Disciplinario sin que a la fecha exista el acto administrativo que respalde este ejercicio y responsabilidad publico administrativo</w:t>
      </w:r>
      <w:r w:rsidR="00727EB3">
        <w:rPr>
          <w:rFonts w:ascii="Arial" w:hAnsi="Arial" w:cs="Arial"/>
        </w:rPr>
        <w:t>,</w:t>
      </w:r>
      <w:r w:rsidR="00CD5915">
        <w:rPr>
          <w:rFonts w:ascii="Arial" w:hAnsi="Arial" w:cs="Arial"/>
        </w:rPr>
        <w:t xml:space="preserve"> pues si bien dicha decisión reposa en el acta, también es cierto que </w:t>
      </w:r>
      <w:r w:rsidR="00E7693F">
        <w:rPr>
          <w:rFonts w:ascii="Arial" w:hAnsi="Arial" w:cs="Arial"/>
        </w:rPr>
        <w:t xml:space="preserve">a la fecha </w:t>
      </w:r>
      <w:r w:rsidR="004D75A1">
        <w:rPr>
          <w:rFonts w:ascii="Arial" w:hAnsi="Arial" w:cs="Arial"/>
        </w:rPr>
        <w:t xml:space="preserve">actual </w:t>
      </w:r>
      <w:r w:rsidR="007E4186">
        <w:rPr>
          <w:rFonts w:ascii="Arial" w:hAnsi="Arial" w:cs="Arial"/>
        </w:rPr>
        <w:t xml:space="preserve"> </w:t>
      </w:r>
      <w:r w:rsidR="004D75A1">
        <w:rPr>
          <w:rFonts w:ascii="Arial" w:hAnsi="Arial" w:cs="Arial"/>
        </w:rPr>
        <w:t xml:space="preserve">no se ha actualizado </w:t>
      </w:r>
      <w:r w:rsidR="001373F1">
        <w:rPr>
          <w:rFonts w:ascii="Arial" w:hAnsi="Arial" w:cs="Arial"/>
        </w:rPr>
        <w:t xml:space="preserve">el artículo segundo de </w:t>
      </w:r>
      <w:r w:rsidR="004D75A1">
        <w:rPr>
          <w:rFonts w:ascii="Arial" w:hAnsi="Arial" w:cs="Arial"/>
        </w:rPr>
        <w:t>la Resolución</w:t>
      </w:r>
      <w:r w:rsidR="001373F1">
        <w:rPr>
          <w:rFonts w:ascii="Arial" w:hAnsi="Arial" w:cs="Arial"/>
        </w:rPr>
        <w:t xml:space="preserve"> 0164 de 2019, </w:t>
      </w:r>
      <w:r w:rsidR="00C4183D">
        <w:rPr>
          <w:rFonts w:ascii="Arial" w:hAnsi="Arial" w:cs="Arial"/>
        </w:rPr>
        <w:t xml:space="preserve">ni el </w:t>
      </w:r>
      <w:r w:rsidR="007B63C6">
        <w:rPr>
          <w:rFonts w:ascii="Arial" w:hAnsi="Arial" w:cs="Arial"/>
        </w:rPr>
        <w:t>reglamento interno del Comité</w:t>
      </w:r>
      <w:r w:rsidR="00E7693F">
        <w:rPr>
          <w:rFonts w:ascii="Arial" w:hAnsi="Arial" w:cs="Arial"/>
        </w:rPr>
        <w:t xml:space="preserve">, donde se establece dicha función al </w:t>
      </w:r>
      <w:r w:rsidR="005D6375">
        <w:rPr>
          <w:rFonts w:ascii="Arial" w:hAnsi="Arial" w:cs="Arial"/>
        </w:rPr>
        <w:t xml:space="preserve">Jefe </w:t>
      </w:r>
      <w:r w:rsidR="00E7693F">
        <w:rPr>
          <w:rFonts w:ascii="Arial" w:hAnsi="Arial" w:cs="Arial"/>
        </w:rPr>
        <w:t xml:space="preserve"> de la Oficina de Planeación. </w:t>
      </w:r>
    </w:p>
    <w:p w14:paraId="4AE7B4C3" w14:textId="4DC4B7A2" w:rsidR="00D8300B" w:rsidRDefault="00817EFE" w:rsidP="0027134A">
      <w:pPr>
        <w:spacing w:after="0" w:line="240" w:lineRule="auto"/>
        <w:jc w:val="both"/>
        <w:rPr>
          <w:rFonts w:ascii="Arial" w:hAnsi="Arial" w:cs="Arial"/>
        </w:rPr>
      </w:pPr>
      <w:r>
        <w:rPr>
          <w:rFonts w:ascii="Arial" w:hAnsi="Arial" w:cs="Arial"/>
        </w:rPr>
        <w:lastRenderedPageBreak/>
        <w:t xml:space="preserve">De otra parte, frente al </w:t>
      </w:r>
      <w:r w:rsidR="00D8300B" w:rsidRPr="00D8300B">
        <w:rPr>
          <w:rFonts w:ascii="Arial" w:hAnsi="Arial" w:cs="Arial"/>
        </w:rPr>
        <w:t xml:space="preserve"> Cuadro de Probabilidad de Riesgo de los procesos judiciales en contra de la Entidad, a fin de contar con provisión de recursos para garantizar el pago en los fallos condenatorios y evitar demandas ejecutivas y cobros de intereses considerados como detrimento patrimonial</w:t>
      </w:r>
      <w:r>
        <w:rPr>
          <w:rFonts w:ascii="Arial" w:hAnsi="Arial" w:cs="Arial"/>
        </w:rPr>
        <w:t xml:space="preserve">, no se obtuvo información al respecto, por tanto al no disponer de la información, no se emite análisis o recomendación sobre el particular, advirtiendo las posibles consecuencias que a ello puede conllevar no contar con instrumentos de información, de insumo para toma de decisiones, de planeación presupuestal y de obligatoriedad para la Entidad. </w:t>
      </w:r>
    </w:p>
    <w:p w14:paraId="70077C35" w14:textId="77777777" w:rsidR="00575768" w:rsidRDefault="00575768" w:rsidP="0027134A">
      <w:pPr>
        <w:spacing w:after="0" w:line="240" w:lineRule="auto"/>
        <w:jc w:val="both"/>
        <w:rPr>
          <w:rFonts w:ascii="Arial" w:hAnsi="Arial" w:cs="Arial"/>
        </w:rPr>
      </w:pPr>
    </w:p>
    <w:p w14:paraId="360E86B7" w14:textId="6CA5B4C7" w:rsidR="0027134A" w:rsidRDefault="0027134A" w:rsidP="0027134A">
      <w:pPr>
        <w:spacing w:after="0" w:line="240" w:lineRule="auto"/>
        <w:jc w:val="both"/>
        <w:rPr>
          <w:rFonts w:ascii="Arial" w:hAnsi="Arial" w:cs="Arial"/>
        </w:rPr>
      </w:pPr>
    </w:p>
    <w:p w14:paraId="6652E734" w14:textId="32989B61" w:rsidR="00BF5F4D" w:rsidRPr="0038782C" w:rsidRDefault="00BF5F4D" w:rsidP="0038782C">
      <w:pPr>
        <w:pStyle w:val="Prrafodelista"/>
        <w:numPr>
          <w:ilvl w:val="0"/>
          <w:numId w:val="28"/>
        </w:numPr>
        <w:jc w:val="both"/>
        <w:rPr>
          <w:rFonts w:ascii="Arial" w:hAnsi="Arial" w:cs="Arial"/>
          <w:b/>
        </w:rPr>
      </w:pPr>
      <w:r w:rsidRPr="0038782C">
        <w:rPr>
          <w:rFonts w:ascii="Arial" w:hAnsi="Arial" w:cs="Arial"/>
          <w:b/>
        </w:rPr>
        <w:t xml:space="preserve">Funciones </w:t>
      </w:r>
      <w:proofErr w:type="gramStart"/>
      <w:r w:rsidR="00E651AB" w:rsidRPr="0038782C">
        <w:rPr>
          <w:rFonts w:ascii="Arial" w:hAnsi="Arial" w:cs="Arial"/>
          <w:b/>
        </w:rPr>
        <w:t>S</w:t>
      </w:r>
      <w:r w:rsidR="006A12E4" w:rsidRPr="0038782C">
        <w:rPr>
          <w:rFonts w:ascii="Arial" w:hAnsi="Arial" w:cs="Arial"/>
          <w:b/>
        </w:rPr>
        <w:t xml:space="preserve">ecretaria </w:t>
      </w:r>
      <w:r w:rsidR="00E651AB" w:rsidRPr="0038782C">
        <w:rPr>
          <w:rFonts w:ascii="Arial" w:hAnsi="Arial" w:cs="Arial"/>
          <w:b/>
        </w:rPr>
        <w:t>T</w:t>
      </w:r>
      <w:r w:rsidR="006A12E4" w:rsidRPr="0038782C">
        <w:rPr>
          <w:rFonts w:ascii="Arial" w:hAnsi="Arial" w:cs="Arial"/>
          <w:b/>
        </w:rPr>
        <w:t>écnica</w:t>
      </w:r>
      <w:proofErr w:type="gramEnd"/>
      <w:r w:rsidRPr="0038782C">
        <w:rPr>
          <w:rFonts w:ascii="Arial" w:hAnsi="Arial" w:cs="Arial"/>
          <w:b/>
        </w:rPr>
        <w:t xml:space="preserve"> (Articulo </w:t>
      </w:r>
      <w:r w:rsidR="00F57AA7" w:rsidRPr="0038782C">
        <w:rPr>
          <w:rFonts w:ascii="Arial" w:hAnsi="Arial" w:cs="Arial"/>
          <w:b/>
        </w:rPr>
        <w:t>2.2.4.3.1.2.6.</w:t>
      </w:r>
      <w:r w:rsidRPr="0038782C">
        <w:rPr>
          <w:rFonts w:ascii="Arial" w:hAnsi="Arial" w:cs="Arial"/>
          <w:b/>
        </w:rPr>
        <w:t xml:space="preserve"> Decreto 1</w:t>
      </w:r>
      <w:r w:rsidR="00F57AA7" w:rsidRPr="0038782C">
        <w:rPr>
          <w:rFonts w:ascii="Arial" w:hAnsi="Arial" w:cs="Arial"/>
          <w:b/>
        </w:rPr>
        <w:t>069</w:t>
      </w:r>
      <w:r w:rsidRPr="0038782C">
        <w:rPr>
          <w:rFonts w:ascii="Arial" w:hAnsi="Arial" w:cs="Arial"/>
          <w:b/>
        </w:rPr>
        <w:t>/</w:t>
      </w:r>
      <w:r w:rsidR="00F57AA7" w:rsidRPr="0038782C">
        <w:rPr>
          <w:rFonts w:ascii="Arial" w:hAnsi="Arial" w:cs="Arial"/>
          <w:b/>
        </w:rPr>
        <w:t>15</w:t>
      </w:r>
      <w:r w:rsidRPr="0038782C">
        <w:rPr>
          <w:rFonts w:ascii="Arial" w:hAnsi="Arial" w:cs="Arial"/>
          <w:b/>
        </w:rPr>
        <w:t>)</w:t>
      </w:r>
    </w:p>
    <w:p w14:paraId="138B23E1" w14:textId="69CDCA2D" w:rsidR="0038782C" w:rsidRDefault="00116F93" w:rsidP="002B38A0">
      <w:pPr>
        <w:jc w:val="both"/>
        <w:rPr>
          <w:rFonts w:ascii="Arial" w:hAnsi="Arial" w:cs="Arial"/>
          <w:bCs/>
        </w:rPr>
      </w:pPr>
      <w:r>
        <w:rPr>
          <w:rFonts w:ascii="Arial" w:hAnsi="Arial" w:cs="Arial"/>
          <w:bCs/>
        </w:rPr>
        <w:t xml:space="preserve">Al respecto, se indica </w:t>
      </w:r>
      <w:r w:rsidR="0038782C">
        <w:rPr>
          <w:rFonts w:ascii="Arial" w:hAnsi="Arial" w:cs="Arial"/>
          <w:bCs/>
        </w:rPr>
        <w:t>que,</w:t>
      </w:r>
      <w:r>
        <w:rPr>
          <w:rFonts w:ascii="Arial" w:hAnsi="Arial" w:cs="Arial"/>
          <w:bCs/>
        </w:rPr>
        <w:t xml:space="preserve"> a la falta de información, la Oficina de Control Interno de Gestión señala lo descrito en el numeral 6 del análisis del cuadro 2 y agrega que no fue entregado el informe de gestión semestral que debe emitir la secretaria técnica del Comité de Conciliación y Defensa Judicial</w:t>
      </w:r>
      <w:r w:rsidR="002B38A0">
        <w:rPr>
          <w:rFonts w:ascii="Arial" w:hAnsi="Arial" w:cs="Arial"/>
          <w:bCs/>
        </w:rPr>
        <w:t>.</w:t>
      </w:r>
    </w:p>
    <w:p w14:paraId="6B820A8C" w14:textId="09DF2044" w:rsidR="0038782C" w:rsidRPr="0038782C" w:rsidRDefault="00703DB2" w:rsidP="0038782C">
      <w:pPr>
        <w:pStyle w:val="Prrafodelista"/>
        <w:numPr>
          <w:ilvl w:val="0"/>
          <w:numId w:val="28"/>
        </w:numPr>
        <w:jc w:val="both"/>
        <w:rPr>
          <w:rFonts w:ascii="Arial" w:hAnsi="Arial" w:cs="Arial"/>
          <w:b/>
        </w:rPr>
      </w:pPr>
      <w:r w:rsidRPr="0038782C">
        <w:rPr>
          <w:rFonts w:ascii="Arial" w:hAnsi="Arial" w:cs="Arial"/>
          <w:b/>
        </w:rPr>
        <w:t>Publicación en la Página Web de la ESE Hospital San José del Guaviare.</w:t>
      </w:r>
    </w:p>
    <w:p w14:paraId="622260C3" w14:textId="77777777" w:rsidR="0038782C" w:rsidRDefault="0038782C" w:rsidP="0080496C">
      <w:pPr>
        <w:spacing w:after="0"/>
        <w:jc w:val="both"/>
        <w:rPr>
          <w:rFonts w:ascii="Arial" w:hAnsi="Arial" w:cs="Arial"/>
          <w:sz w:val="16"/>
          <w:szCs w:val="16"/>
        </w:rPr>
      </w:pPr>
    </w:p>
    <w:p w14:paraId="18D015E8" w14:textId="01E516E3" w:rsidR="0038782C" w:rsidRDefault="00BF6CA9" w:rsidP="0080496C">
      <w:pPr>
        <w:spacing w:after="0"/>
        <w:jc w:val="both"/>
        <w:rPr>
          <w:rFonts w:ascii="Arial" w:hAnsi="Arial" w:cs="Arial"/>
          <w:sz w:val="16"/>
          <w:szCs w:val="16"/>
        </w:rPr>
      </w:pPr>
      <w:r w:rsidRPr="00BF6CA9">
        <w:rPr>
          <w:rFonts w:ascii="Arial" w:hAnsi="Arial" w:cs="Arial"/>
          <w:sz w:val="16"/>
          <w:szCs w:val="16"/>
        </w:rPr>
        <w:t xml:space="preserve">Imagen No. </w:t>
      </w:r>
      <w:r w:rsidR="00C56DB7">
        <w:rPr>
          <w:rFonts w:ascii="Arial" w:hAnsi="Arial" w:cs="Arial"/>
          <w:sz w:val="16"/>
          <w:szCs w:val="16"/>
        </w:rPr>
        <w:t>5</w:t>
      </w:r>
      <w:r w:rsidRPr="00BF6CA9">
        <w:rPr>
          <w:rFonts w:ascii="Arial" w:hAnsi="Arial" w:cs="Arial"/>
          <w:sz w:val="16"/>
          <w:szCs w:val="16"/>
        </w:rPr>
        <w:t xml:space="preserve"> </w:t>
      </w:r>
      <w:r w:rsidR="0082041E" w:rsidRPr="00BF6CA9">
        <w:rPr>
          <w:rFonts w:ascii="Arial" w:hAnsi="Arial" w:cs="Arial"/>
          <w:sz w:val="16"/>
          <w:szCs w:val="16"/>
        </w:rPr>
        <w:t>Pantallazo página Web ESE Hospital SJG</w:t>
      </w:r>
    </w:p>
    <w:p w14:paraId="2A79E58F" w14:textId="74C8436D" w:rsidR="00E02DC3" w:rsidRPr="00C333D9" w:rsidRDefault="00C56DB7" w:rsidP="00C333D9">
      <w:pPr>
        <w:spacing w:after="0"/>
        <w:jc w:val="both"/>
        <w:rPr>
          <w:rFonts w:ascii="Arial" w:hAnsi="Arial" w:cs="Arial"/>
          <w:sz w:val="16"/>
          <w:szCs w:val="16"/>
        </w:rPr>
      </w:pPr>
      <w:r>
        <w:rPr>
          <w:noProof/>
        </w:rPr>
        <w:drawing>
          <wp:inline distT="0" distB="0" distL="0" distR="0" wp14:anchorId="410CEA64" wp14:editId="088B32FF">
            <wp:extent cx="5710545" cy="2314575"/>
            <wp:effectExtent l="0" t="0" r="5080" b="0"/>
            <wp:docPr id="10663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865" name=""/>
                    <pic:cNvPicPr/>
                  </pic:nvPicPr>
                  <pic:blipFill rotWithShape="1">
                    <a:blip r:embed="rId14"/>
                    <a:srcRect l="6589" t="5106" r="7408" b="19215"/>
                    <a:stretch/>
                  </pic:blipFill>
                  <pic:spPr bwMode="auto">
                    <a:xfrm>
                      <a:off x="0" y="0"/>
                      <a:ext cx="5744430" cy="2328309"/>
                    </a:xfrm>
                    <a:prstGeom prst="rect">
                      <a:avLst/>
                    </a:prstGeom>
                    <a:ln>
                      <a:noFill/>
                    </a:ln>
                    <a:extLst>
                      <a:ext uri="{53640926-AAD7-44D8-BBD7-CCE9431645EC}">
                        <a14:shadowObscured xmlns:a14="http://schemas.microsoft.com/office/drawing/2010/main"/>
                      </a:ext>
                    </a:extLst>
                  </pic:spPr>
                </pic:pic>
              </a:graphicData>
            </a:graphic>
          </wp:inline>
        </w:drawing>
      </w:r>
    </w:p>
    <w:p w14:paraId="55814F94" w14:textId="05785331" w:rsidR="00BF6CA9" w:rsidRPr="00BF6CA9" w:rsidRDefault="00BF6CA9" w:rsidP="00BF6CA9">
      <w:pPr>
        <w:ind w:firstLine="284"/>
        <w:jc w:val="both"/>
        <w:rPr>
          <w:rFonts w:ascii="Arial" w:hAnsi="Arial" w:cs="Arial"/>
          <w:sz w:val="16"/>
          <w:szCs w:val="16"/>
        </w:rPr>
      </w:pPr>
      <w:r w:rsidRPr="00BF6CA9">
        <w:rPr>
          <w:rFonts w:ascii="Arial" w:hAnsi="Arial" w:cs="Arial"/>
          <w:sz w:val="16"/>
          <w:szCs w:val="16"/>
        </w:rPr>
        <w:t>Fuente:  Página web ESE HSJG</w:t>
      </w:r>
    </w:p>
    <w:p w14:paraId="6F6A9B6A" w14:textId="3D92DCBF" w:rsidR="0038782C" w:rsidRDefault="00703DB2" w:rsidP="00D8300B">
      <w:pPr>
        <w:jc w:val="both"/>
        <w:rPr>
          <w:rFonts w:ascii="Arial" w:hAnsi="Arial" w:cs="Arial"/>
        </w:rPr>
      </w:pPr>
      <w:r w:rsidRPr="00703DB2">
        <w:rPr>
          <w:rFonts w:ascii="Arial" w:hAnsi="Arial" w:cs="Arial"/>
        </w:rPr>
        <w:t xml:space="preserve">Se evidencia </w:t>
      </w:r>
      <w:r w:rsidR="00CD619F">
        <w:rPr>
          <w:rFonts w:ascii="Arial" w:hAnsi="Arial" w:cs="Arial"/>
        </w:rPr>
        <w:t xml:space="preserve">que el link de </w:t>
      </w:r>
      <w:r w:rsidR="00CA5EBD">
        <w:rPr>
          <w:rFonts w:ascii="Arial" w:hAnsi="Arial" w:cs="Arial"/>
        </w:rPr>
        <w:t>Procesos J</w:t>
      </w:r>
      <w:r w:rsidR="00CD619F">
        <w:rPr>
          <w:rFonts w:ascii="Arial" w:hAnsi="Arial" w:cs="Arial"/>
        </w:rPr>
        <w:t xml:space="preserve">udiciales en </w:t>
      </w:r>
      <w:r w:rsidR="000074E2">
        <w:rPr>
          <w:rFonts w:ascii="Arial" w:hAnsi="Arial" w:cs="Arial"/>
        </w:rPr>
        <w:t>la página Web de la Entidad</w:t>
      </w:r>
      <w:r w:rsidR="00CD619F">
        <w:rPr>
          <w:rFonts w:ascii="Arial" w:hAnsi="Arial" w:cs="Arial"/>
        </w:rPr>
        <w:t xml:space="preserve"> </w:t>
      </w:r>
      <w:r w:rsidR="008F27E7">
        <w:rPr>
          <w:rFonts w:ascii="Arial" w:hAnsi="Arial" w:cs="Arial"/>
        </w:rPr>
        <w:t xml:space="preserve">se encuentra </w:t>
      </w:r>
      <w:r w:rsidR="00D8300B">
        <w:rPr>
          <w:rFonts w:ascii="Arial" w:hAnsi="Arial" w:cs="Arial"/>
        </w:rPr>
        <w:t>activo</w:t>
      </w:r>
      <w:r w:rsidR="008F27E7">
        <w:rPr>
          <w:rFonts w:ascii="Arial" w:hAnsi="Arial" w:cs="Arial"/>
        </w:rPr>
        <w:t xml:space="preserve"> y </w:t>
      </w:r>
      <w:r w:rsidR="00CA5EBD">
        <w:rPr>
          <w:rFonts w:ascii="Arial" w:hAnsi="Arial" w:cs="Arial"/>
        </w:rPr>
        <w:t xml:space="preserve">la información </w:t>
      </w:r>
      <w:r w:rsidR="00E02DC3">
        <w:rPr>
          <w:rFonts w:ascii="Arial" w:hAnsi="Arial" w:cs="Arial"/>
        </w:rPr>
        <w:t>desactual</w:t>
      </w:r>
      <w:r w:rsidR="00CA5EBD">
        <w:rPr>
          <w:rFonts w:ascii="Arial" w:hAnsi="Arial" w:cs="Arial"/>
        </w:rPr>
        <w:t>izada</w:t>
      </w:r>
      <w:r w:rsidR="00C56DB7">
        <w:rPr>
          <w:rFonts w:ascii="Arial" w:hAnsi="Arial" w:cs="Arial"/>
        </w:rPr>
        <w:t>, puesto que desde el 2021</w:t>
      </w:r>
      <w:r w:rsidR="00492291">
        <w:rPr>
          <w:rFonts w:ascii="Arial" w:hAnsi="Arial" w:cs="Arial"/>
        </w:rPr>
        <w:t>,</w:t>
      </w:r>
      <w:r w:rsidR="00C56DB7">
        <w:rPr>
          <w:rFonts w:ascii="Arial" w:hAnsi="Arial" w:cs="Arial"/>
        </w:rPr>
        <w:t xml:space="preserve"> no se ha actualizado la información.</w:t>
      </w:r>
      <w:r w:rsidR="008F27E7">
        <w:rPr>
          <w:rFonts w:ascii="Arial" w:hAnsi="Arial" w:cs="Arial"/>
        </w:rPr>
        <w:t xml:space="preserve"> </w:t>
      </w:r>
    </w:p>
    <w:p w14:paraId="10F074E7" w14:textId="6292F4E7" w:rsidR="0038782C" w:rsidRDefault="00773AE4" w:rsidP="0038782C">
      <w:pPr>
        <w:tabs>
          <w:tab w:val="left" w:pos="842"/>
          <w:tab w:val="center" w:pos="4419"/>
        </w:tabs>
        <w:jc w:val="center"/>
        <w:rPr>
          <w:rFonts w:ascii="Arial" w:hAnsi="Arial" w:cs="Arial"/>
          <w:b/>
        </w:rPr>
      </w:pPr>
      <w:r w:rsidRPr="001163A1">
        <w:rPr>
          <w:rFonts w:ascii="Arial" w:hAnsi="Arial" w:cs="Arial"/>
          <w:b/>
        </w:rPr>
        <w:t>Conclusiones y Recomendaciones</w:t>
      </w:r>
    </w:p>
    <w:p w14:paraId="1EF26F9B" w14:textId="7C12D289" w:rsidR="001F6B08" w:rsidRDefault="00773AE4" w:rsidP="00773AE4">
      <w:pPr>
        <w:pStyle w:val="Prrafodelista"/>
        <w:numPr>
          <w:ilvl w:val="0"/>
          <w:numId w:val="17"/>
        </w:numPr>
        <w:spacing w:after="0" w:line="240" w:lineRule="auto"/>
        <w:jc w:val="both"/>
        <w:rPr>
          <w:rFonts w:ascii="Arial" w:hAnsi="Arial" w:cs="Arial"/>
        </w:rPr>
      </w:pPr>
      <w:r w:rsidRPr="001163A1">
        <w:rPr>
          <w:rFonts w:ascii="Arial" w:hAnsi="Arial" w:cs="Arial"/>
        </w:rPr>
        <w:t xml:space="preserve">El Comité de Conciliación </w:t>
      </w:r>
      <w:r w:rsidR="002C0748">
        <w:rPr>
          <w:rFonts w:ascii="Arial" w:hAnsi="Arial" w:cs="Arial"/>
        </w:rPr>
        <w:t>y Defensa Judicial</w:t>
      </w:r>
      <w:r w:rsidRPr="001163A1">
        <w:rPr>
          <w:rFonts w:ascii="Arial" w:hAnsi="Arial" w:cs="Arial"/>
        </w:rPr>
        <w:t>, cumplió</w:t>
      </w:r>
      <w:r w:rsidR="00492291">
        <w:rPr>
          <w:rFonts w:ascii="Arial" w:hAnsi="Arial" w:cs="Arial"/>
        </w:rPr>
        <w:t xml:space="preserve"> parcialmente</w:t>
      </w:r>
      <w:r w:rsidRPr="001163A1">
        <w:rPr>
          <w:rFonts w:ascii="Arial" w:hAnsi="Arial" w:cs="Arial"/>
        </w:rPr>
        <w:t xml:space="preserve"> con las funciones es</w:t>
      </w:r>
      <w:r w:rsidR="00D8300B">
        <w:rPr>
          <w:rFonts w:ascii="Arial" w:hAnsi="Arial" w:cs="Arial"/>
        </w:rPr>
        <w:t>tablecidas en la Ley durante el</w:t>
      </w:r>
      <w:r w:rsidR="008C6E20">
        <w:rPr>
          <w:rFonts w:ascii="Arial" w:hAnsi="Arial" w:cs="Arial"/>
        </w:rPr>
        <w:t xml:space="preserve"> </w:t>
      </w:r>
      <w:r w:rsidR="00B75B38">
        <w:rPr>
          <w:rFonts w:ascii="Arial" w:hAnsi="Arial" w:cs="Arial"/>
        </w:rPr>
        <w:t>II</w:t>
      </w:r>
      <w:r w:rsidR="00D8300B">
        <w:rPr>
          <w:rFonts w:ascii="Arial" w:hAnsi="Arial" w:cs="Arial"/>
        </w:rPr>
        <w:t xml:space="preserve"> semestre de la </w:t>
      </w:r>
      <w:r w:rsidRPr="001163A1">
        <w:rPr>
          <w:rFonts w:ascii="Arial" w:hAnsi="Arial" w:cs="Arial"/>
        </w:rPr>
        <w:t>vigencia 20</w:t>
      </w:r>
      <w:r w:rsidR="001F6B08">
        <w:rPr>
          <w:rFonts w:ascii="Arial" w:hAnsi="Arial" w:cs="Arial"/>
        </w:rPr>
        <w:t>2</w:t>
      </w:r>
      <w:r w:rsidR="00F10762">
        <w:rPr>
          <w:rFonts w:ascii="Arial" w:hAnsi="Arial" w:cs="Arial"/>
        </w:rPr>
        <w:t>4</w:t>
      </w:r>
      <w:r w:rsidR="001F6B08">
        <w:rPr>
          <w:rFonts w:ascii="Arial" w:hAnsi="Arial" w:cs="Arial"/>
        </w:rPr>
        <w:t>.</w:t>
      </w:r>
      <w:r w:rsidRPr="001163A1">
        <w:rPr>
          <w:rFonts w:ascii="Arial" w:hAnsi="Arial" w:cs="Arial"/>
        </w:rPr>
        <w:t xml:space="preserve"> </w:t>
      </w:r>
    </w:p>
    <w:p w14:paraId="55B052C4" w14:textId="657B3362" w:rsidR="003C7C56" w:rsidRDefault="009407BA" w:rsidP="00081B4E">
      <w:pPr>
        <w:pStyle w:val="Prrafodelista"/>
        <w:numPr>
          <w:ilvl w:val="0"/>
          <w:numId w:val="17"/>
        </w:numPr>
        <w:spacing w:after="0" w:line="240" w:lineRule="auto"/>
        <w:jc w:val="both"/>
        <w:rPr>
          <w:rFonts w:ascii="Arial" w:hAnsi="Arial" w:cs="Arial"/>
        </w:rPr>
      </w:pPr>
      <w:r>
        <w:rPr>
          <w:rFonts w:ascii="Arial" w:hAnsi="Arial" w:cs="Arial"/>
        </w:rPr>
        <w:t xml:space="preserve">Se recomienda </w:t>
      </w:r>
      <w:r w:rsidR="00452FA3">
        <w:rPr>
          <w:rFonts w:ascii="Arial" w:hAnsi="Arial" w:cs="Arial"/>
        </w:rPr>
        <w:t xml:space="preserve">actualizar la </w:t>
      </w:r>
      <w:r w:rsidR="00C938F8">
        <w:rPr>
          <w:rFonts w:ascii="Arial" w:hAnsi="Arial" w:cs="Arial"/>
        </w:rPr>
        <w:t>P</w:t>
      </w:r>
      <w:r w:rsidR="00081B4E" w:rsidRPr="00081B4E">
        <w:rPr>
          <w:rFonts w:ascii="Arial" w:hAnsi="Arial" w:cs="Arial"/>
        </w:rPr>
        <w:t xml:space="preserve">olítica de </w:t>
      </w:r>
      <w:r w:rsidR="00C938F8">
        <w:rPr>
          <w:rFonts w:ascii="Arial" w:hAnsi="Arial" w:cs="Arial"/>
        </w:rPr>
        <w:t>P</w:t>
      </w:r>
      <w:r w:rsidR="00081B4E" w:rsidRPr="00081B4E">
        <w:rPr>
          <w:rFonts w:ascii="Arial" w:hAnsi="Arial" w:cs="Arial"/>
        </w:rPr>
        <w:t xml:space="preserve">revención del </w:t>
      </w:r>
      <w:r w:rsidR="00C938F8">
        <w:rPr>
          <w:rFonts w:ascii="Arial" w:hAnsi="Arial" w:cs="Arial"/>
        </w:rPr>
        <w:t>D</w:t>
      </w:r>
      <w:r w:rsidR="00081B4E" w:rsidRPr="00081B4E">
        <w:rPr>
          <w:rFonts w:ascii="Arial" w:hAnsi="Arial" w:cs="Arial"/>
        </w:rPr>
        <w:t xml:space="preserve">año </w:t>
      </w:r>
      <w:r w:rsidR="00C938F8">
        <w:rPr>
          <w:rFonts w:ascii="Arial" w:hAnsi="Arial" w:cs="Arial"/>
        </w:rPr>
        <w:t>A</w:t>
      </w:r>
      <w:r w:rsidR="00081B4E" w:rsidRPr="00081B4E">
        <w:rPr>
          <w:rFonts w:ascii="Arial" w:hAnsi="Arial" w:cs="Arial"/>
        </w:rPr>
        <w:t>ntijurídico</w:t>
      </w:r>
      <w:r w:rsidR="003C7C56">
        <w:rPr>
          <w:rFonts w:ascii="Arial" w:hAnsi="Arial" w:cs="Arial"/>
        </w:rPr>
        <w:t>.</w:t>
      </w:r>
    </w:p>
    <w:p w14:paraId="52BF0686" w14:textId="68E173DF" w:rsidR="00516BE1" w:rsidRDefault="00516BE1" w:rsidP="00081B4E">
      <w:pPr>
        <w:pStyle w:val="Prrafodelista"/>
        <w:numPr>
          <w:ilvl w:val="0"/>
          <w:numId w:val="17"/>
        </w:numPr>
        <w:spacing w:after="0" w:line="240" w:lineRule="auto"/>
        <w:jc w:val="both"/>
        <w:rPr>
          <w:rFonts w:ascii="Arial" w:hAnsi="Arial" w:cs="Arial"/>
        </w:rPr>
      </w:pPr>
      <w:r>
        <w:rPr>
          <w:rFonts w:ascii="Arial" w:hAnsi="Arial" w:cs="Arial"/>
        </w:rPr>
        <w:lastRenderedPageBreak/>
        <w:t xml:space="preserve">Documentar, custodiar y disponer de los archivos físicos y digitales producidos en el proceso y en el marco del Comité de Conciliación y Defensa Judicial. </w:t>
      </w:r>
    </w:p>
    <w:p w14:paraId="62061573" w14:textId="2D941375" w:rsidR="00773AE4" w:rsidRPr="00F10762" w:rsidRDefault="00D8300B" w:rsidP="00F10762">
      <w:pPr>
        <w:pStyle w:val="Prrafodelista"/>
        <w:numPr>
          <w:ilvl w:val="0"/>
          <w:numId w:val="17"/>
        </w:numPr>
        <w:spacing w:after="0" w:line="240" w:lineRule="auto"/>
        <w:jc w:val="both"/>
        <w:rPr>
          <w:rFonts w:ascii="Arial" w:hAnsi="Arial" w:cs="Arial"/>
        </w:rPr>
      </w:pPr>
      <w:r>
        <w:rPr>
          <w:rFonts w:ascii="Arial" w:hAnsi="Arial" w:cs="Arial"/>
        </w:rPr>
        <w:t>Ma</w:t>
      </w:r>
      <w:r w:rsidR="003C7C56">
        <w:rPr>
          <w:rFonts w:ascii="Arial" w:hAnsi="Arial" w:cs="Arial"/>
        </w:rPr>
        <w:t xml:space="preserve">ntener actualizado el </w:t>
      </w:r>
      <w:r w:rsidR="00C938F8">
        <w:rPr>
          <w:rFonts w:ascii="Arial" w:hAnsi="Arial" w:cs="Arial"/>
        </w:rPr>
        <w:t>C</w:t>
      </w:r>
      <w:r w:rsidR="003C7C56">
        <w:rPr>
          <w:rFonts w:ascii="Arial" w:hAnsi="Arial" w:cs="Arial"/>
        </w:rPr>
        <w:t xml:space="preserve">uadro de Probabilidad de Riesgo </w:t>
      </w:r>
      <w:r w:rsidR="00C938F8">
        <w:rPr>
          <w:rFonts w:ascii="Arial" w:hAnsi="Arial" w:cs="Arial"/>
        </w:rPr>
        <w:t>de los procesos j</w:t>
      </w:r>
      <w:r w:rsidR="005A278C">
        <w:rPr>
          <w:rFonts w:ascii="Arial" w:hAnsi="Arial" w:cs="Arial"/>
        </w:rPr>
        <w:t xml:space="preserve">udiciales en contra de la </w:t>
      </w:r>
      <w:r w:rsidR="003C7C56">
        <w:rPr>
          <w:rFonts w:ascii="Arial" w:hAnsi="Arial" w:cs="Arial"/>
        </w:rPr>
        <w:t>Entidad</w:t>
      </w:r>
      <w:r w:rsidR="005A278C">
        <w:rPr>
          <w:rFonts w:ascii="Arial" w:hAnsi="Arial" w:cs="Arial"/>
        </w:rPr>
        <w:t xml:space="preserve">, a fin de contar con </w:t>
      </w:r>
      <w:r w:rsidR="003C7C56">
        <w:rPr>
          <w:rFonts w:ascii="Arial" w:hAnsi="Arial" w:cs="Arial"/>
        </w:rPr>
        <w:t xml:space="preserve">provisión de recursos </w:t>
      </w:r>
      <w:r w:rsidR="005A278C">
        <w:rPr>
          <w:rFonts w:ascii="Arial" w:hAnsi="Arial" w:cs="Arial"/>
        </w:rPr>
        <w:t>para garantizar el pago</w:t>
      </w:r>
      <w:r w:rsidR="00136CBD">
        <w:rPr>
          <w:rFonts w:ascii="Arial" w:hAnsi="Arial" w:cs="Arial"/>
        </w:rPr>
        <w:t xml:space="preserve"> en los fallos condenatorios y evitar demandas ejecutivas y cobros de intereses considerados como detrimento patrimonial</w:t>
      </w:r>
      <w:r w:rsidR="00650D2A">
        <w:rPr>
          <w:rFonts w:ascii="Arial" w:hAnsi="Arial" w:cs="Arial"/>
        </w:rPr>
        <w:t>.</w:t>
      </w:r>
    </w:p>
    <w:p w14:paraId="0BB3FA5C" w14:textId="4F3A5086" w:rsidR="00BA3946" w:rsidRDefault="00533B29" w:rsidP="00081B4E">
      <w:pPr>
        <w:pStyle w:val="Prrafodelista"/>
        <w:numPr>
          <w:ilvl w:val="0"/>
          <w:numId w:val="17"/>
        </w:numPr>
        <w:shd w:val="clear" w:color="auto" w:fill="FFFFFF" w:themeFill="background1"/>
        <w:spacing w:after="0" w:line="240" w:lineRule="auto"/>
        <w:jc w:val="both"/>
        <w:rPr>
          <w:rFonts w:ascii="Arial" w:hAnsi="Arial" w:cs="Arial"/>
        </w:rPr>
      </w:pPr>
      <w:r w:rsidRPr="000004DB">
        <w:rPr>
          <w:rFonts w:ascii="Arial" w:hAnsi="Arial" w:cs="Arial"/>
        </w:rPr>
        <w:t>Actualiza</w:t>
      </w:r>
      <w:r w:rsidR="000004DB" w:rsidRPr="000004DB">
        <w:rPr>
          <w:rFonts w:ascii="Arial" w:hAnsi="Arial" w:cs="Arial"/>
        </w:rPr>
        <w:t xml:space="preserve">r la Resolución N° 0164 de 2019 en </w:t>
      </w:r>
      <w:r w:rsidR="00D2572C">
        <w:rPr>
          <w:rFonts w:ascii="Arial" w:hAnsi="Arial" w:cs="Arial"/>
        </w:rPr>
        <w:t xml:space="preserve">los </w:t>
      </w:r>
      <w:r w:rsidR="000004DB" w:rsidRPr="000004DB">
        <w:rPr>
          <w:rFonts w:ascii="Arial" w:hAnsi="Arial" w:cs="Arial"/>
        </w:rPr>
        <w:t>Artículo</w:t>
      </w:r>
      <w:r w:rsidR="00D2572C">
        <w:rPr>
          <w:rFonts w:ascii="Arial" w:hAnsi="Arial" w:cs="Arial"/>
        </w:rPr>
        <w:t>s primero</w:t>
      </w:r>
      <w:r w:rsidR="00AF412B">
        <w:rPr>
          <w:rFonts w:ascii="Arial" w:hAnsi="Arial" w:cs="Arial"/>
        </w:rPr>
        <w:t xml:space="preserve"> (Integración del comité)</w:t>
      </w:r>
      <w:r w:rsidR="00D2572C">
        <w:rPr>
          <w:rFonts w:ascii="Arial" w:hAnsi="Arial" w:cs="Arial"/>
        </w:rPr>
        <w:t xml:space="preserve">, </w:t>
      </w:r>
      <w:r w:rsidR="00AF412B">
        <w:rPr>
          <w:rFonts w:ascii="Arial" w:hAnsi="Arial" w:cs="Arial"/>
        </w:rPr>
        <w:t xml:space="preserve">artículo </w:t>
      </w:r>
      <w:r w:rsidR="00507AB2">
        <w:rPr>
          <w:rFonts w:ascii="Arial" w:hAnsi="Arial" w:cs="Arial"/>
        </w:rPr>
        <w:t xml:space="preserve">segundo </w:t>
      </w:r>
      <w:r w:rsidR="00853957">
        <w:rPr>
          <w:rFonts w:ascii="Arial" w:hAnsi="Arial" w:cs="Arial"/>
        </w:rPr>
        <w:t xml:space="preserve">(Asignación secretaria técnica del comité) </w:t>
      </w:r>
      <w:r w:rsidR="00507AB2">
        <w:rPr>
          <w:rFonts w:ascii="Arial" w:hAnsi="Arial" w:cs="Arial"/>
        </w:rPr>
        <w:t xml:space="preserve">y demás que se requieran de acuerdo a las necesidades, dinamismo y actualización normativa para el funcionamiento del Comité de Conciliación y </w:t>
      </w:r>
      <w:r w:rsidR="00CD5915">
        <w:rPr>
          <w:rFonts w:ascii="Arial" w:hAnsi="Arial" w:cs="Arial"/>
        </w:rPr>
        <w:t>D</w:t>
      </w:r>
      <w:r w:rsidR="00507AB2">
        <w:rPr>
          <w:rFonts w:ascii="Arial" w:hAnsi="Arial" w:cs="Arial"/>
        </w:rPr>
        <w:t xml:space="preserve">efensa Judicial, y, en </w:t>
      </w:r>
      <w:r w:rsidR="00F6138E">
        <w:rPr>
          <w:rFonts w:ascii="Arial" w:hAnsi="Arial" w:cs="Arial"/>
        </w:rPr>
        <w:t>consecuencia,</w:t>
      </w:r>
      <w:r w:rsidR="00507AB2">
        <w:rPr>
          <w:rFonts w:ascii="Arial" w:hAnsi="Arial" w:cs="Arial"/>
        </w:rPr>
        <w:t xml:space="preserve"> actualizar </w:t>
      </w:r>
      <w:r w:rsidR="000004DB" w:rsidRPr="000004DB">
        <w:rPr>
          <w:rFonts w:ascii="Arial" w:hAnsi="Arial" w:cs="Arial"/>
        </w:rPr>
        <w:t xml:space="preserve">Reglamento Interno del Comité de </w:t>
      </w:r>
      <w:r w:rsidR="00C57AEB" w:rsidRPr="000004DB">
        <w:rPr>
          <w:rFonts w:ascii="Arial" w:hAnsi="Arial" w:cs="Arial"/>
        </w:rPr>
        <w:t>Conciliación y</w:t>
      </w:r>
      <w:r w:rsidR="000004DB" w:rsidRPr="000004DB">
        <w:rPr>
          <w:rFonts w:ascii="Arial" w:hAnsi="Arial" w:cs="Arial"/>
        </w:rPr>
        <w:t xml:space="preserve"> Defensa Judicial de la E.S.E Hospital San José del</w:t>
      </w:r>
      <w:r w:rsidR="00507AB2">
        <w:rPr>
          <w:rFonts w:ascii="Arial" w:hAnsi="Arial" w:cs="Arial"/>
        </w:rPr>
        <w:t xml:space="preserve"> Guaviare.</w:t>
      </w:r>
      <w:r w:rsidR="00F863F6">
        <w:rPr>
          <w:rFonts w:ascii="Arial" w:hAnsi="Arial" w:cs="Arial"/>
        </w:rPr>
        <w:t xml:space="preserve"> </w:t>
      </w:r>
    </w:p>
    <w:p w14:paraId="768DD0F1" w14:textId="77777777" w:rsidR="00202685" w:rsidRPr="00C726D3" w:rsidRDefault="008F27E7" w:rsidP="00081B4E">
      <w:pPr>
        <w:pStyle w:val="Prrafodelista"/>
        <w:numPr>
          <w:ilvl w:val="0"/>
          <w:numId w:val="17"/>
        </w:numPr>
        <w:shd w:val="clear" w:color="auto" w:fill="FFFFFF" w:themeFill="background1"/>
        <w:spacing w:after="0" w:line="240" w:lineRule="auto"/>
        <w:jc w:val="both"/>
        <w:rPr>
          <w:rFonts w:ascii="Arial" w:hAnsi="Arial" w:cs="Arial"/>
        </w:rPr>
      </w:pPr>
      <w:r w:rsidRPr="00C726D3">
        <w:rPr>
          <w:rFonts w:ascii="Arial" w:hAnsi="Arial" w:cs="Arial"/>
        </w:rPr>
        <w:t>P</w:t>
      </w:r>
      <w:r w:rsidR="00414580" w:rsidRPr="00C726D3">
        <w:rPr>
          <w:rFonts w:ascii="Arial" w:hAnsi="Arial" w:cs="Arial"/>
        </w:rPr>
        <w:t xml:space="preserve">ublicar </w:t>
      </w:r>
      <w:r w:rsidR="00226C10" w:rsidRPr="00CF099D">
        <w:rPr>
          <w:rFonts w:ascii="Arial" w:hAnsi="Arial" w:cs="Arial"/>
        </w:rPr>
        <w:t>las actas contentivas de los acuerdos conciliatorios celebrado</w:t>
      </w:r>
      <w:r w:rsidR="005E5C92" w:rsidRPr="00CF099D">
        <w:rPr>
          <w:rFonts w:ascii="Arial" w:hAnsi="Arial" w:cs="Arial"/>
        </w:rPr>
        <w:t>s</w:t>
      </w:r>
      <w:r w:rsidR="00226C10" w:rsidRPr="00CF099D">
        <w:rPr>
          <w:rFonts w:ascii="Arial" w:hAnsi="Arial" w:cs="Arial"/>
        </w:rPr>
        <w:t xml:space="preserve"> ante los agentes del</w:t>
      </w:r>
      <w:r w:rsidR="00226C10" w:rsidRPr="00C726D3">
        <w:rPr>
          <w:rFonts w:ascii="Arial" w:hAnsi="Arial" w:cs="Arial"/>
        </w:rPr>
        <w:t xml:space="preserve"> Ministerio Público, de conformidad al Artículo 2.2.4.3.1.2.15 del Decreto 1069 de 2015. </w:t>
      </w:r>
      <w:r w:rsidR="00C726D3" w:rsidRPr="00C726D3">
        <w:rPr>
          <w:rFonts w:ascii="Arial" w:hAnsi="Arial" w:cs="Arial"/>
        </w:rPr>
        <w:t xml:space="preserve">  </w:t>
      </w:r>
    </w:p>
    <w:p w14:paraId="6A1800EB" w14:textId="4847BB4B" w:rsidR="00EB04B2" w:rsidRPr="00FE3220" w:rsidRDefault="00EB04B2" w:rsidP="00EB04B2">
      <w:pPr>
        <w:pStyle w:val="Prrafodelista"/>
        <w:numPr>
          <w:ilvl w:val="0"/>
          <w:numId w:val="17"/>
        </w:numPr>
        <w:shd w:val="clear" w:color="auto" w:fill="FFFFFF" w:themeFill="background1"/>
        <w:spacing w:after="0" w:line="240" w:lineRule="auto"/>
        <w:jc w:val="both"/>
        <w:rPr>
          <w:rFonts w:ascii="Arial" w:hAnsi="Arial" w:cs="Arial"/>
        </w:rPr>
      </w:pPr>
      <w:r w:rsidRPr="00EB04B2">
        <w:rPr>
          <w:rFonts w:ascii="Arial" w:hAnsi="Arial" w:cs="Arial"/>
        </w:rPr>
        <w:t xml:space="preserve">Conservar y custodiar el archivo del Comité de Conciliación y Defensa Judicial y de los procesos judiciales como se establece la </w:t>
      </w:r>
      <w:r w:rsidR="0080496C">
        <w:rPr>
          <w:rFonts w:ascii="Arial" w:hAnsi="Arial" w:cs="Arial"/>
        </w:rPr>
        <w:t>L</w:t>
      </w:r>
      <w:r w:rsidRPr="00EB04B2">
        <w:rPr>
          <w:rFonts w:ascii="Arial" w:hAnsi="Arial" w:cs="Arial"/>
        </w:rPr>
        <w:t xml:space="preserve">ey 594 de 2000 y sus Decretos Reglamentarios. </w:t>
      </w:r>
    </w:p>
    <w:p w14:paraId="35E819C1" w14:textId="190B53D7" w:rsidR="00B47BEF" w:rsidRDefault="00B47BEF"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Generar buenas prácticas de auto control, auto regulación con relación al cumplimiento de </w:t>
      </w:r>
      <w:r w:rsidR="00575768">
        <w:rPr>
          <w:rFonts w:ascii="Arial" w:hAnsi="Arial" w:cs="Arial"/>
        </w:rPr>
        <w:t>la Resolución</w:t>
      </w:r>
      <w:r>
        <w:rPr>
          <w:rFonts w:ascii="Arial" w:hAnsi="Arial" w:cs="Arial"/>
        </w:rPr>
        <w:t xml:space="preserve"> 0164 de 2019 y al Reglamento Interno del Comité de Conciliación y Defensa Judicial de la E.S.E Hospital San José del Guaviare</w:t>
      </w:r>
      <w:r w:rsidR="00817CA4">
        <w:rPr>
          <w:rFonts w:ascii="Arial" w:hAnsi="Arial" w:cs="Arial"/>
        </w:rPr>
        <w:t xml:space="preserve">, desde luego teniendo en cuenta la recomendación número 5. </w:t>
      </w:r>
      <w:r>
        <w:rPr>
          <w:rFonts w:ascii="Arial" w:hAnsi="Arial" w:cs="Arial"/>
        </w:rPr>
        <w:t xml:space="preserve"> </w:t>
      </w:r>
    </w:p>
    <w:p w14:paraId="2430C78C" w14:textId="3B77F62F" w:rsidR="00DA7222" w:rsidRDefault="00DA7222"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Se recomienda a todos los miembros del </w:t>
      </w:r>
      <w:r w:rsidRPr="001163A1">
        <w:rPr>
          <w:rFonts w:ascii="Arial" w:hAnsi="Arial" w:cs="Arial"/>
        </w:rPr>
        <w:t xml:space="preserve">Comité de Conciliación </w:t>
      </w:r>
      <w:r>
        <w:rPr>
          <w:rFonts w:ascii="Arial" w:hAnsi="Arial" w:cs="Arial"/>
        </w:rPr>
        <w:t xml:space="preserve">y Defensa Judicial, que con ocasión al envió de la información y demás compromisos adquiridos en el Comité, sean enviados siempre con copia al correo de </w:t>
      </w:r>
      <w:hyperlink r:id="rId15" w:history="1">
        <w:r w:rsidRPr="0078611F">
          <w:rPr>
            <w:rStyle w:val="Hipervnculo"/>
            <w:rFonts w:ascii="Arial" w:hAnsi="Arial" w:cs="Arial"/>
          </w:rPr>
          <w:t>controlinterno@esehospitalguaviare.gov.co</w:t>
        </w:r>
      </w:hyperlink>
      <w:r>
        <w:rPr>
          <w:rFonts w:ascii="Arial" w:hAnsi="Arial" w:cs="Arial"/>
        </w:rPr>
        <w:t xml:space="preserve">  a fin de realizar el seguimiento a los compromisos del comité.</w:t>
      </w:r>
    </w:p>
    <w:p w14:paraId="2394B0CF" w14:textId="596CC118" w:rsidR="009D2F1B" w:rsidRDefault="009D2F1B" w:rsidP="000004DB">
      <w:pPr>
        <w:pStyle w:val="Prrafodelista"/>
        <w:numPr>
          <w:ilvl w:val="0"/>
          <w:numId w:val="17"/>
        </w:numPr>
        <w:shd w:val="clear" w:color="auto" w:fill="FFFFFF" w:themeFill="background1"/>
        <w:spacing w:after="0" w:line="240" w:lineRule="auto"/>
        <w:jc w:val="both"/>
        <w:rPr>
          <w:rFonts w:ascii="Arial" w:hAnsi="Arial" w:cs="Arial"/>
        </w:rPr>
      </w:pPr>
      <w:bookmarkStart w:id="1" w:name="_Hlk160438238"/>
      <w:r>
        <w:rPr>
          <w:rFonts w:ascii="Arial" w:hAnsi="Arial" w:cs="Arial"/>
        </w:rPr>
        <w:t xml:space="preserve">Las convocatorias, enviarlas </w:t>
      </w:r>
      <w:r w:rsidR="00DE7262">
        <w:rPr>
          <w:rFonts w:ascii="Arial" w:hAnsi="Arial" w:cs="Arial"/>
        </w:rPr>
        <w:t xml:space="preserve">a los miembros del Comité tres días antes de anterioridad al </w:t>
      </w:r>
      <w:r w:rsidR="0080496C">
        <w:rPr>
          <w:rFonts w:ascii="Arial" w:hAnsi="Arial" w:cs="Arial"/>
        </w:rPr>
        <w:t>C</w:t>
      </w:r>
      <w:r w:rsidR="00DE7262">
        <w:rPr>
          <w:rFonts w:ascii="Arial" w:hAnsi="Arial" w:cs="Arial"/>
        </w:rPr>
        <w:t xml:space="preserve">omité con el orden del día, fichas técnicas, como lo establece la Resolución </w:t>
      </w:r>
      <w:r w:rsidR="0080496C">
        <w:rPr>
          <w:rFonts w:ascii="Arial" w:hAnsi="Arial" w:cs="Arial"/>
        </w:rPr>
        <w:t xml:space="preserve">N° </w:t>
      </w:r>
      <w:r w:rsidR="00DE7262">
        <w:rPr>
          <w:rFonts w:ascii="Arial" w:hAnsi="Arial" w:cs="Arial"/>
        </w:rPr>
        <w:t>0164 de 2019</w:t>
      </w:r>
      <w:bookmarkEnd w:id="1"/>
      <w:r w:rsidR="00DE7262">
        <w:rPr>
          <w:rFonts w:ascii="Arial" w:hAnsi="Arial" w:cs="Arial"/>
        </w:rPr>
        <w:t xml:space="preserve">. </w:t>
      </w:r>
    </w:p>
    <w:p w14:paraId="0E7F9384" w14:textId="05642439" w:rsidR="00F10762" w:rsidRDefault="00F10762"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Se recomienda actualizar la información de los procesos judiciales en la página web de la entidad, en cumplimiento a la ley de transparencia y demás marco legal que establece la publicación actualizada. </w:t>
      </w:r>
    </w:p>
    <w:p w14:paraId="114E4BCE" w14:textId="1887CC0C" w:rsidR="004A2966" w:rsidRDefault="00F10762" w:rsidP="0027134A">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Observar las demás recomendaciones impartidas en el contenido del presente informe. </w:t>
      </w:r>
    </w:p>
    <w:p w14:paraId="643054C4" w14:textId="685EB593" w:rsidR="00BD2E9B" w:rsidRDefault="00BD2E9B" w:rsidP="0027134A">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Recordar la Obligación de responder las solicitudes y entrega de información solicitadas por los grupos de interés</w:t>
      </w:r>
      <w:r w:rsidR="00550715">
        <w:rPr>
          <w:rFonts w:ascii="Arial" w:hAnsi="Arial" w:cs="Arial"/>
        </w:rPr>
        <w:t xml:space="preserve"> en los tiempos determinados por la ley. </w:t>
      </w:r>
      <w:r>
        <w:rPr>
          <w:rFonts w:ascii="Arial" w:hAnsi="Arial" w:cs="Arial"/>
        </w:rPr>
        <w:t xml:space="preserve"> </w:t>
      </w:r>
    </w:p>
    <w:p w14:paraId="633AD0EC" w14:textId="46323AE7" w:rsidR="006F6D8C" w:rsidRDefault="005B5483" w:rsidP="0027134A">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Documentar las actas de </w:t>
      </w:r>
      <w:r w:rsidR="002202F4">
        <w:rPr>
          <w:rFonts w:ascii="Arial" w:hAnsi="Arial" w:cs="Arial"/>
        </w:rPr>
        <w:t>los Comités</w:t>
      </w:r>
      <w:r>
        <w:rPr>
          <w:rFonts w:ascii="Arial" w:hAnsi="Arial" w:cs="Arial"/>
        </w:rPr>
        <w:t xml:space="preserve"> de Conciliación y Defensa Judicial que se desarrollen, en tanto que estas soportan de manera legal y probatoria las acciones efectuadas por la Entidad frente a los procesos judiciales que tiene la Entidad, y que no documentarlas, firmarlas, custodiarlas, y todo lo concerniente a la normatividad vigente de gestión documental. Podrán acarrear hallazgos y sanciones disciplinarias, fiscales y penales para la Entidad y sus responsables. Como también el no cumplimiento de esta actividad, obstaculiza la trazabilidad y procesos de otras entidades y áreas de la misma Entidad. </w:t>
      </w:r>
    </w:p>
    <w:p w14:paraId="505717A3" w14:textId="4612166C" w:rsidR="00C56DB7" w:rsidRDefault="00C56DB7" w:rsidP="00C56DB7">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lastRenderedPageBreak/>
        <w:t xml:space="preserve">Teniendo en cuenta el </w:t>
      </w:r>
      <w:r w:rsidR="00A47B09">
        <w:rPr>
          <w:rFonts w:ascii="Arial" w:hAnsi="Arial" w:cs="Arial"/>
        </w:rPr>
        <w:t>Riesgo</w:t>
      </w:r>
      <w:r>
        <w:rPr>
          <w:rFonts w:ascii="Arial" w:hAnsi="Arial" w:cs="Arial"/>
        </w:rPr>
        <w:t xml:space="preserve"> materializado del proceso de Sentencias Judiciales, por la Contraloría Departamental del Guaviare, se recomienda, dar cumplimiento al plan de mejoramiento y documentar </w:t>
      </w:r>
      <w:proofErr w:type="spellStart"/>
      <w:r>
        <w:rPr>
          <w:rFonts w:ascii="Arial" w:hAnsi="Arial" w:cs="Arial"/>
        </w:rPr>
        <w:t>el</w:t>
      </w:r>
      <w:proofErr w:type="spellEnd"/>
      <w:r>
        <w:rPr>
          <w:rFonts w:ascii="Arial" w:hAnsi="Arial" w:cs="Arial"/>
        </w:rPr>
        <w:t xml:space="preserve"> y los posibles riesgos del proceso, para gestionarlos y mitigar la materialización de futuros riesgos asociados al particular. Así mismo se recomienda gestionar y dar cumplimiento por los miembros del comité lo indicado en el punto a) del presente informe </w:t>
      </w:r>
    </w:p>
    <w:p w14:paraId="1C4FAE30" w14:textId="1F919E9D" w:rsidR="00B97495" w:rsidRPr="0038782C" w:rsidRDefault="00C56DB7" w:rsidP="0038782C">
      <w:pPr>
        <w:pStyle w:val="Prrafodelista"/>
        <w:numPr>
          <w:ilvl w:val="0"/>
          <w:numId w:val="17"/>
        </w:numPr>
        <w:jc w:val="both"/>
        <w:rPr>
          <w:rFonts w:ascii="Arial" w:hAnsi="Arial" w:cs="Arial"/>
        </w:rPr>
      </w:pPr>
      <w:r>
        <w:rPr>
          <w:rFonts w:ascii="Arial" w:hAnsi="Arial" w:cs="Arial"/>
        </w:rPr>
        <w:t xml:space="preserve">Se recomienda la actualización permanente de la información que debe ser publicada en la página web de la Entidad, en lo correspondiente al proceso de Sentencias Judiciales. </w:t>
      </w:r>
    </w:p>
    <w:p w14:paraId="6588F87A" w14:textId="77777777" w:rsidR="0038782C" w:rsidRPr="004A2966" w:rsidRDefault="0038782C" w:rsidP="004A2966">
      <w:pPr>
        <w:pStyle w:val="Prrafodelista"/>
        <w:shd w:val="clear" w:color="auto" w:fill="FFFFFF" w:themeFill="background1"/>
        <w:spacing w:after="0" w:line="240" w:lineRule="auto"/>
        <w:jc w:val="both"/>
        <w:rPr>
          <w:rFonts w:ascii="Arial" w:hAnsi="Arial" w:cs="Arial"/>
        </w:rPr>
      </w:pPr>
    </w:p>
    <w:p w14:paraId="60A578C5" w14:textId="5AA89AFA" w:rsidR="00BF5F4D" w:rsidRDefault="00414580" w:rsidP="0027134A">
      <w:pPr>
        <w:jc w:val="both"/>
        <w:rPr>
          <w:rFonts w:ascii="Arial" w:hAnsi="Arial" w:cs="Arial"/>
          <w:sz w:val="20"/>
          <w:szCs w:val="20"/>
        </w:rPr>
      </w:pPr>
      <w:r w:rsidRPr="00FE3220">
        <w:rPr>
          <w:rFonts w:ascii="Arial" w:hAnsi="Arial" w:cs="Arial"/>
          <w:sz w:val="20"/>
          <w:szCs w:val="20"/>
        </w:rPr>
        <w:t xml:space="preserve">Atentamente, </w:t>
      </w:r>
    </w:p>
    <w:p w14:paraId="09390137" w14:textId="77777777" w:rsidR="0038782C" w:rsidRDefault="0038782C" w:rsidP="0027134A">
      <w:pPr>
        <w:jc w:val="both"/>
        <w:rPr>
          <w:rFonts w:ascii="Arial" w:hAnsi="Arial" w:cs="Arial"/>
          <w:sz w:val="20"/>
          <w:szCs w:val="20"/>
        </w:rPr>
      </w:pPr>
    </w:p>
    <w:p w14:paraId="2B65E358" w14:textId="36450B6D" w:rsidR="0038782C" w:rsidRPr="0027134A" w:rsidRDefault="004F2001" w:rsidP="0027134A">
      <w:pPr>
        <w:jc w:val="both"/>
        <w:rPr>
          <w:rFonts w:ascii="Arial" w:hAnsi="Arial" w:cs="Arial"/>
          <w:sz w:val="20"/>
          <w:szCs w:val="20"/>
        </w:rPr>
      </w:pPr>
      <w:r>
        <w:rPr>
          <w:rFonts w:ascii="Arial" w:hAnsi="Arial" w:cs="Arial"/>
          <w:sz w:val="20"/>
          <w:szCs w:val="20"/>
        </w:rPr>
        <w:t>(ORIGINAL FIRMADO)</w:t>
      </w:r>
    </w:p>
    <w:p w14:paraId="2250FBE9" w14:textId="77777777" w:rsidR="00BF5F4D" w:rsidRPr="00414580" w:rsidRDefault="0006110E" w:rsidP="00BF5F4D">
      <w:pPr>
        <w:spacing w:after="0" w:line="240" w:lineRule="auto"/>
        <w:jc w:val="both"/>
        <w:rPr>
          <w:rFonts w:ascii="Arial" w:hAnsi="Arial" w:cs="Arial"/>
          <w:b/>
        </w:rPr>
      </w:pPr>
      <w:r w:rsidRPr="00414580">
        <w:rPr>
          <w:rFonts w:ascii="Arial" w:hAnsi="Arial" w:cs="Arial"/>
          <w:b/>
        </w:rPr>
        <w:t>LUCEDY TRUJILLO LAZ</w:t>
      </w:r>
      <w:r w:rsidR="009624E8" w:rsidRPr="00414580">
        <w:rPr>
          <w:rFonts w:ascii="Arial" w:hAnsi="Arial" w:cs="Arial"/>
          <w:b/>
        </w:rPr>
        <w:t>O</w:t>
      </w:r>
    </w:p>
    <w:p w14:paraId="0FE92B14" w14:textId="03BECF4B" w:rsidR="001E6DC1" w:rsidRPr="004A2966" w:rsidRDefault="00BF5F4D" w:rsidP="00BF5F4D">
      <w:pPr>
        <w:spacing w:after="0" w:line="240" w:lineRule="auto"/>
        <w:jc w:val="both"/>
        <w:rPr>
          <w:rFonts w:ascii="Arial" w:hAnsi="Arial" w:cs="Arial"/>
        </w:rPr>
      </w:pPr>
      <w:r w:rsidRPr="00414580">
        <w:rPr>
          <w:rFonts w:ascii="Arial" w:hAnsi="Arial" w:cs="Arial"/>
        </w:rPr>
        <w:t xml:space="preserve">Jefe </w:t>
      </w:r>
      <w:r w:rsidR="009624E8" w:rsidRPr="00414580">
        <w:rPr>
          <w:rFonts w:ascii="Arial" w:hAnsi="Arial" w:cs="Arial"/>
        </w:rPr>
        <w:t xml:space="preserve">Oficina de Control Interno de Gestión </w:t>
      </w:r>
    </w:p>
    <w:p w14:paraId="5BABB17B" w14:textId="77777777" w:rsidR="004A2966" w:rsidRDefault="004A2966" w:rsidP="00D2572C">
      <w:pPr>
        <w:spacing w:after="0" w:line="240" w:lineRule="auto"/>
        <w:jc w:val="both"/>
        <w:rPr>
          <w:rFonts w:ascii="Arial" w:hAnsi="Arial" w:cs="Arial"/>
          <w:sz w:val="14"/>
          <w:szCs w:val="14"/>
        </w:rPr>
      </w:pPr>
    </w:p>
    <w:p w14:paraId="793FD42B" w14:textId="50D377E7" w:rsidR="00D2572C" w:rsidRDefault="0027134A" w:rsidP="00D2572C">
      <w:pPr>
        <w:spacing w:after="0" w:line="240" w:lineRule="auto"/>
        <w:jc w:val="both"/>
        <w:rPr>
          <w:rFonts w:ascii="Arial" w:hAnsi="Arial" w:cs="Arial"/>
          <w:sz w:val="14"/>
          <w:szCs w:val="14"/>
        </w:rPr>
      </w:pPr>
      <w:r>
        <w:rPr>
          <w:rFonts w:ascii="Arial" w:hAnsi="Arial" w:cs="Arial"/>
          <w:sz w:val="14"/>
          <w:szCs w:val="14"/>
        </w:rPr>
        <w:t>Proyecto</w:t>
      </w:r>
      <w:r w:rsidR="00F10762">
        <w:rPr>
          <w:rFonts w:ascii="Arial" w:hAnsi="Arial" w:cs="Arial"/>
          <w:sz w:val="14"/>
          <w:szCs w:val="14"/>
        </w:rPr>
        <w:t>: Luz Angela Parrado Valdez</w:t>
      </w:r>
    </w:p>
    <w:p w14:paraId="395C3B16" w14:textId="28F3678F" w:rsidR="00CD5D17" w:rsidRDefault="00CD5D17" w:rsidP="00D2572C">
      <w:pPr>
        <w:spacing w:after="0" w:line="240" w:lineRule="auto"/>
        <w:jc w:val="both"/>
        <w:rPr>
          <w:rFonts w:ascii="Arial" w:hAnsi="Arial" w:cs="Arial"/>
          <w:sz w:val="14"/>
          <w:szCs w:val="14"/>
        </w:rPr>
      </w:pPr>
      <w:r>
        <w:rPr>
          <w:rFonts w:ascii="Arial" w:hAnsi="Arial" w:cs="Arial"/>
          <w:sz w:val="14"/>
          <w:szCs w:val="14"/>
        </w:rPr>
        <w:t>Revisó:</w:t>
      </w:r>
      <w:r w:rsidRPr="00CD5D17">
        <w:rPr>
          <w:rFonts w:ascii="Arial" w:hAnsi="Arial" w:cs="Arial"/>
          <w:sz w:val="14"/>
          <w:szCs w:val="14"/>
        </w:rPr>
        <w:t xml:space="preserve"> </w:t>
      </w:r>
      <w:r w:rsidRPr="00D2572C">
        <w:rPr>
          <w:rFonts w:ascii="Arial" w:hAnsi="Arial" w:cs="Arial"/>
          <w:sz w:val="14"/>
          <w:szCs w:val="14"/>
        </w:rPr>
        <w:t>Lucedy Trujillo Lazo</w:t>
      </w:r>
    </w:p>
    <w:p w14:paraId="738832A5" w14:textId="77777777" w:rsidR="00AA2E24" w:rsidRDefault="00AA2E24" w:rsidP="00F10762">
      <w:pPr>
        <w:spacing w:after="0" w:line="240" w:lineRule="auto"/>
        <w:jc w:val="both"/>
        <w:rPr>
          <w:rFonts w:ascii="Arial" w:hAnsi="Arial" w:cs="Arial"/>
          <w:sz w:val="14"/>
          <w:szCs w:val="14"/>
        </w:rPr>
      </w:pPr>
    </w:p>
    <w:sectPr w:rsidR="00AA2E24" w:rsidSect="005C7008">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3B76B" w14:textId="77777777" w:rsidR="001021EE" w:rsidRDefault="001021EE" w:rsidP="00790668">
      <w:pPr>
        <w:spacing w:after="0" w:line="240" w:lineRule="auto"/>
      </w:pPr>
      <w:r>
        <w:separator/>
      </w:r>
    </w:p>
  </w:endnote>
  <w:endnote w:type="continuationSeparator" w:id="0">
    <w:p w14:paraId="1B84DB90" w14:textId="77777777" w:rsidR="001021EE" w:rsidRDefault="001021EE" w:rsidP="0079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EA5BD" w14:textId="7CD9AA05" w:rsidR="000A6668" w:rsidRPr="000074E2" w:rsidRDefault="000A6668" w:rsidP="000074E2">
    <w:pPr>
      <w:pStyle w:val="Piedepgina"/>
      <w:tabs>
        <w:tab w:val="center" w:pos="4140"/>
        <w:tab w:val="right" w:pos="8640"/>
      </w:tabs>
      <w:jc w:val="center"/>
      <w:rPr>
        <w:rFonts w:ascii="Bookman Old Style" w:hAnsi="Bookman Old Style"/>
        <w:i/>
        <w:sz w:val="28"/>
      </w:rPr>
    </w:pPr>
    <w:r w:rsidRPr="009801B6">
      <w:rPr>
        <w:rFonts w:ascii="Bookman Old Style" w:hAnsi="Bookman Old Style"/>
        <w:i/>
        <w:sz w:val="28"/>
      </w:rPr>
      <w:t xml:space="preserve"> “El Hospital </w:t>
    </w:r>
    <w:r w:rsidR="00F65DA8">
      <w:rPr>
        <w:rFonts w:ascii="Bookman Old Style" w:hAnsi="Bookman Old Style"/>
        <w:i/>
        <w:sz w:val="28"/>
      </w:rPr>
      <w:t>A su Servicio”</w:t>
    </w:r>
    <w:r w:rsidRPr="009801B6">
      <w:rPr>
        <w:rFonts w:ascii="Bookman Old Style" w:hAnsi="Bookman Old Style"/>
        <w:i/>
        <w:sz w:val="28"/>
      </w:rPr>
      <w:t xml:space="preserve">            </w:t>
    </w:r>
  </w:p>
  <w:p w14:paraId="46E940A4" w14:textId="77777777" w:rsidR="000A6668" w:rsidRDefault="000A6668" w:rsidP="00483107">
    <w:pPr>
      <w:pStyle w:val="Piedepgina"/>
      <w:jc w:val="center"/>
      <w:rPr>
        <w:rFonts w:ascii="Century Gothic" w:hAnsi="Century Gothic"/>
        <w:color w:val="000000"/>
        <w:sz w:val="16"/>
        <w:szCs w:val="16"/>
      </w:rPr>
    </w:pPr>
    <w:r>
      <w:rPr>
        <w:rFonts w:ascii="Century Gothic" w:hAnsi="Century Gothic"/>
        <w:noProof/>
        <w:color w:val="000000"/>
        <w:sz w:val="16"/>
        <w:szCs w:val="16"/>
        <w:lang w:eastAsia="es-CO"/>
      </w:rPr>
      <mc:AlternateContent>
        <mc:Choice Requires="wps">
          <w:drawing>
            <wp:anchor distT="0" distB="0" distL="114300" distR="114300" simplePos="0" relativeHeight="251662336" behindDoc="0" locked="0" layoutInCell="1" allowOverlap="1" wp14:anchorId="43CCD79A" wp14:editId="24780DCE">
              <wp:simplePos x="0" y="0"/>
              <wp:positionH relativeFrom="column">
                <wp:posOffset>-163830</wp:posOffset>
              </wp:positionH>
              <wp:positionV relativeFrom="paragraph">
                <wp:posOffset>57785</wp:posOffset>
              </wp:positionV>
              <wp:extent cx="5744845" cy="0"/>
              <wp:effectExtent l="36195" t="29210" r="29210" b="37465"/>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48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4912B" id="Conector recto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55pt" to="439.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" strokeweight="4.5pt">
              <v:stroke linestyle="thinThick"/>
            </v:line>
          </w:pict>
        </mc:Fallback>
      </mc:AlternateContent>
    </w:r>
  </w:p>
  <w:p w14:paraId="7D61AC84" w14:textId="77777777" w:rsidR="000A6668" w:rsidRPr="005240E4" w:rsidRDefault="000A6668" w:rsidP="00483107">
    <w:pPr>
      <w:pStyle w:val="Piedepgina"/>
      <w:jc w:val="center"/>
      <w:rPr>
        <w:rFonts w:ascii="Century Gothic" w:hAnsi="Century Gothic"/>
        <w:color w:val="000000"/>
        <w:sz w:val="16"/>
        <w:szCs w:val="16"/>
      </w:rPr>
    </w:pPr>
    <w:r w:rsidRPr="005240E4">
      <w:rPr>
        <w:rFonts w:ascii="Century Gothic" w:hAnsi="Century Gothic"/>
        <w:color w:val="000000"/>
        <w:sz w:val="16"/>
        <w:szCs w:val="16"/>
      </w:rPr>
      <w:t xml:space="preserve">San José Del Guaviare. Calle 12 Carrera 20 - B. La Esperanza, TEL: (98) 5840045 – </w:t>
    </w:r>
    <w:proofErr w:type="gramStart"/>
    <w:r w:rsidRPr="005240E4">
      <w:rPr>
        <w:rFonts w:ascii="Century Gothic" w:hAnsi="Century Gothic"/>
        <w:color w:val="000000"/>
        <w:sz w:val="16"/>
        <w:szCs w:val="16"/>
      </w:rPr>
      <w:t>5840168  FAX</w:t>
    </w:r>
    <w:proofErr w:type="gramEnd"/>
    <w:r w:rsidRPr="005240E4">
      <w:rPr>
        <w:rFonts w:ascii="Century Gothic" w:hAnsi="Century Gothic"/>
        <w:color w:val="000000"/>
        <w:sz w:val="16"/>
        <w:szCs w:val="16"/>
      </w:rPr>
      <w:t>: 5840532 – 5849155</w:t>
    </w:r>
  </w:p>
  <w:p w14:paraId="27243519" w14:textId="77777777" w:rsidR="000A6668" w:rsidRDefault="000A6668" w:rsidP="00483107">
    <w:pPr>
      <w:pStyle w:val="Piedepgina"/>
    </w:pPr>
    <w:r>
      <w:rPr>
        <w:rFonts w:ascii="Century Gothic" w:hAnsi="Century Gothic"/>
        <w:color w:val="000000"/>
        <w:sz w:val="16"/>
        <w:szCs w:val="16"/>
      </w:rPr>
      <w:tab/>
    </w:r>
    <w:r w:rsidRPr="005240E4">
      <w:rPr>
        <w:rFonts w:ascii="Century Gothic" w:hAnsi="Century Gothic"/>
        <w:color w:val="000000"/>
        <w:sz w:val="16"/>
        <w:szCs w:val="16"/>
      </w:rPr>
      <w:t xml:space="preserve">Página Web </w:t>
    </w:r>
    <w:hyperlink r:id="rId1" w:history="1">
      <w:r w:rsidRPr="00652232">
        <w:rPr>
          <w:rStyle w:val="Hipervnculo"/>
          <w:rFonts w:ascii="Century Gothic" w:hAnsi="Century Gothic"/>
          <w:sz w:val="16"/>
          <w:szCs w:val="16"/>
        </w:rPr>
        <w:t>www.esehospitalguaviare.gov.co</w:t>
      </w:r>
    </w:hyperlink>
    <w:r w:rsidRPr="005240E4">
      <w:rPr>
        <w:rFonts w:ascii="Century Gothic" w:hAnsi="Century Gothic"/>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21EBA" w14:textId="77777777" w:rsidR="001021EE" w:rsidRDefault="001021EE" w:rsidP="00790668">
      <w:pPr>
        <w:spacing w:after="0" w:line="240" w:lineRule="auto"/>
      </w:pPr>
      <w:r>
        <w:separator/>
      </w:r>
    </w:p>
  </w:footnote>
  <w:footnote w:type="continuationSeparator" w:id="0">
    <w:p w14:paraId="1A0883AF" w14:textId="77777777" w:rsidR="001021EE" w:rsidRDefault="001021EE" w:rsidP="00790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E5426" w14:textId="77777777" w:rsidR="000A6668" w:rsidRDefault="000A6668" w:rsidP="00483107">
    <w:pPr>
      <w:pStyle w:val="Encabezado"/>
      <w:rPr>
        <w:i/>
      </w:rPr>
    </w:pPr>
  </w:p>
  <w:p w14:paraId="7A9F1A5B" w14:textId="26FEABE7" w:rsidR="000A6668" w:rsidRPr="000723E3" w:rsidRDefault="000A6668" w:rsidP="00483107">
    <w:pPr>
      <w:pStyle w:val="Encabezado"/>
      <w:jc w:val="right"/>
      <w:rPr>
        <w:i/>
      </w:rPr>
    </w:pPr>
    <w:r>
      <w:rPr>
        <w:i/>
        <w:noProof/>
        <w:lang w:eastAsia="es-CO"/>
      </w:rPr>
      <w:drawing>
        <wp:anchor distT="0" distB="0" distL="114300" distR="114300" simplePos="0" relativeHeight="251660288" behindDoc="0" locked="0" layoutInCell="1" allowOverlap="1" wp14:anchorId="41BBAB68" wp14:editId="57AB9297">
          <wp:simplePos x="0" y="0"/>
          <wp:positionH relativeFrom="column">
            <wp:posOffset>0</wp:posOffset>
          </wp:positionH>
          <wp:positionV relativeFrom="paragraph">
            <wp:posOffset>-41910</wp:posOffset>
          </wp:positionV>
          <wp:extent cx="910590" cy="9144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EL HOSPITAL</w:t>
    </w:r>
    <w:r w:rsidR="00F65DA8">
      <w:rPr>
        <w:i/>
      </w:rPr>
      <w:t xml:space="preserve"> A SU SERVICIO</w:t>
    </w:r>
  </w:p>
  <w:p w14:paraId="44C30C1F" w14:textId="77777777" w:rsidR="000A6668" w:rsidRPr="007A0C47" w:rsidRDefault="000A6668" w:rsidP="00483107">
    <w:pPr>
      <w:pStyle w:val="Encabezado"/>
      <w:jc w:val="right"/>
      <w:rPr>
        <w:rFonts w:ascii="Book Antiqua" w:hAnsi="Book Antiqua"/>
        <w:i/>
      </w:rPr>
    </w:pPr>
    <w:r w:rsidRPr="007A0C47">
      <w:rPr>
        <w:rFonts w:ascii="Book Antiqua" w:hAnsi="Book Antiqua"/>
        <w:i/>
      </w:rPr>
      <w:t>Código de prestador</w:t>
    </w:r>
  </w:p>
  <w:p w14:paraId="09B4CCDE" w14:textId="77777777" w:rsidR="000A6668" w:rsidRDefault="000A6668" w:rsidP="00483107">
    <w:pPr>
      <w:pStyle w:val="Encabezado"/>
      <w:jc w:val="right"/>
      <w:rPr>
        <w:rFonts w:ascii="Book Antiqua" w:hAnsi="Book Antiqua"/>
        <w:i/>
      </w:rPr>
    </w:pPr>
    <w:proofErr w:type="gramStart"/>
    <w:r>
      <w:rPr>
        <w:rFonts w:ascii="Book Antiqua" w:hAnsi="Book Antiqua"/>
        <w:i/>
      </w:rPr>
      <w:t>95  001</w:t>
    </w:r>
    <w:proofErr w:type="gramEnd"/>
    <w:r>
      <w:rPr>
        <w:rFonts w:ascii="Book Antiqua" w:hAnsi="Book Antiqua"/>
        <w:i/>
      </w:rPr>
      <w:t xml:space="preserve">  0000101</w:t>
    </w:r>
  </w:p>
  <w:p w14:paraId="78241EB0" w14:textId="77777777" w:rsidR="000A6668" w:rsidRDefault="000A6668" w:rsidP="00483107">
    <w:pPr>
      <w:pStyle w:val="Encabezado"/>
      <w:jc w:val="right"/>
      <w:rPr>
        <w:rFonts w:ascii="Book Antiqua" w:hAnsi="Book Antiqua"/>
        <w:i/>
        <w:sz w:val="18"/>
      </w:rPr>
    </w:pPr>
    <w:proofErr w:type="spellStart"/>
    <w:r>
      <w:rPr>
        <w:rFonts w:ascii="Book Antiqua" w:hAnsi="Book Antiqua"/>
        <w:i/>
        <w:sz w:val="18"/>
      </w:rPr>
      <w:t>Nit</w:t>
    </w:r>
    <w:proofErr w:type="spellEnd"/>
    <w:r>
      <w:rPr>
        <w:rFonts w:ascii="Book Antiqua" w:hAnsi="Book Antiqua"/>
        <w:i/>
        <w:sz w:val="18"/>
      </w:rPr>
      <w:t xml:space="preserve"> – 832001966-2</w:t>
    </w:r>
  </w:p>
  <w:p w14:paraId="1CBA2F10" w14:textId="77777777" w:rsidR="000A6668" w:rsidRPr="00E479D4" w:rsidRDefault="000A6668" w:rsidP="00483107">
    <w:pPr>
      <w:pStyle w:val="Encabezado"/>
      <w:tabs>
        <w:tab w:val="left" w:pos="240"/>
      </w:tabs>
      <w:jc w:val="center"/>
      <w:rPr>
        <w:rFonts w:ascii="Calibri" w:hAnsi="Calibri"/>
        <w:i/>
      </w:rPr>
    </w:pPr>
    <w:proofErr w:type="gramStart"/>
    <w:r w:rsidRPr="00E479D4">
      <w:rPr>
        <w:rFonts w:ascii="Book Antiqua" w:hAnsi="Book Antiqua"/>
        <w:i/>
      </w:rPr>
      <w:t>Control  Interno</w:t>
    </w:r>
    <w:proofErr w:type="gramEnd"/>
    <w:r w:rsidRPr="00E479D4">
      <w:rPr>
        <w:rFonts w:ascii="Book Antiqua" w:hAnsi="Book Antiqua"/>
        <w:i/>
      </w:rPr>
      <w:t xml:space="preserve"> de Gestión </w:t>
    </w:r>
  </w:p>
  <w:p w14:paraId="2DAC4CA9" w14:textId="77777777" w:rsidR="000A6668" w:rsidRPr="00483107" w:rsidRDefault="000A6668" w:rsidP="00483107">
    <w:pPr>
      <w:pStyle w:val="Encabezado"/>
      <w:tabs>
        <w:tab w:val="left" w:pos="240"/>
      </w:tabs>
      <w:jc w:val="center"/>
      <w:rPr>
        <w:rFonts w:ascii="Calibri" w:hAnsi="Calibri"/>
        <w:i/>
        <w:sz w:val="18"/>
      </w:rPr>
    </w:pPr>
    <w:r>
      <w:rPr>
        <w:rFonts w:ascii="Calibri" w:hAnsi="Calibri"/>
        <w:i/>
        <w:noProof/>
        <w:sz w:val="18"/>
        <w:lang w:eastAsia="es-CO"/>
      </w:rPr>
      <mc:AlternateContent>
        <mc:Choice Requires="wps">
          <w:drawing>
            <wp:anchor distT="0" distB="0" distL="114300" distR="114300" simplePos="0" relativeHeight="251659264" behindDoc="0" locked="0" layoutInCell="1" allowOverlap="1" wp14:anchorId="6C239494" wp14:editId="2C07D6EC">
              <wp:simplePos x="0" y="0"/>
              <wp:positionH relativeFrom="column">
                <wp:posOffset>17145</wp:posOffset>
              </wp:positionH>
              <wp:positionV relativeFrom="paragraph">
                <wp:posOffset>99695</wp:posOffset>
              </wp:positionV>
              <wp:extent cx="5846445" cy="0"/>
              <wp:effectExtent l="36195" t="33020" r="32385"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99543"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61.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" strokeweight="4.5pt">
              <v:stroke linestyle="thinThick"/>
            </v:line>
          </w:pict>
        </mc:Fallback>
      </mc:AlternateContent>
    </w:r>
    <w:r>
      <w:rPr>
        <w:rFonts w:ascii="Calibri" w:hAnsi="Calibri"/>
        <w:i/>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0D16"/>
    <w:multiLevelType w:val="hybridMultilevel"/>
    <w:tmpl w:val="8B584792"/>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 w15:restartNumberingAfterBreak="0">
    <w:nsid w:val="10A66FFB"/>
    <w:multiLevelType w:val="hybridMultilevel"/>
    <w:tmpl w:val="74F8CE64"/>
    <w:lvl w:ilvl="0" w:tplc="240A0017">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5539DF"/>
    <w:multiLevelType w:val="hybridMultilevel"/>
    <w:tmpl w:val="547A5B78"/>
    <w:lvl w:ilvl="0" w:tplc="78500BC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BF21AA"/>
    <w:multiLevelType w:val="hybridMultilevel"/>
    <w:tmpl w:val="758034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676DC2"/>
    <w:multiLevelType w:val="hybridMultilevel"/>
    <w:tmpl w:val="C5086192"/>
    <w:lvl w:ilvl="0" w:tplc="A4FC00BE">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9E5D8F"/>
    <w:multiLevelType w:val="hybridMultilevel"/>
    <w:tmpl w:val="AA109EBE"/>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22543139"/>
    <w:multiLevelType w:val="hybridMultilevel"/>
    <w:tmpl w:val="5A22248A"/>
    <w:lvl w:ilvl="0" w:tplc="25220AA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39773D"/>
    <w:multiLevelType w:val="hybridMultilevel"/>
    <w:tmpl w:val="989E70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1574F5"/>
    <w:multiLevelType w:val="hybridMultilevel"/>
    <w:tmpl w:val="4C84EBC0"/>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9" w15:restartNumberingAfterBreak="0">
    <w:nsid w:val="37742F07"/>
    <w:multiLevelType w:val="hybridMultilevel"/>
    <w:tmpl w:val="DD4C3D00"/>
    <w:lvl w:ilvl="0" w:tplc="AB241FCE">
      <w:start w:val="1"/>
      <w:numFmt w:val="decimal"/>
      <w:lvlText w:val="%1."/>
      <w:lvlJc w:val="left"/>
      <w:pPr>
        <w:ind w:left="720" w:hanging="360"/>
      </w:pPr>
      <w:rPr>
        <w:rFonts w:ascii="Calibri" w:eastAsia="Times New Roman" w:hAnsi="Calibri" w:cs="Calibri"/>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0" w15:restartNumberingAfterBreak="0">
    <w:nsid w:val="3AFE6F8B"/>
    <w:multiLevelType w:val="hybridMultilevel"/>
    <w:tmpl w:val="010C63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2E17B9"/>
    <w:multiLevelType w:val="hybridMultilevel"/>
    <w:tmpl w:val="596A8FD4"/>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2" w15:restartNumberingAfterBreak="0">
    <w:nsid w:val="3E2D7BD1"/>
    <w:multiLevelType w:val="hybridMultilevel"/>
    <w:tmpl w:val="55FAA872"/>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3" w15:restartNumberingAfterBreak="0">
    <w:nsid w:val="3FA02602"/>
    <w:multiLevelType w:val="hybridMultilevel"/>
    <w:tmpl w:val="BCE06190"/>
    <w:lvl w:ilvl="0" w:tplc="5546B438">
      <w:start w:val="1"/>
      <w:numFmt w:val="upp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02D5094"/>
    <w:multiLevelType w:val="hybridMultilevel"/>
    <w:tmpl w:val="956AA048"/>
    <w:lvl w:ilvl="0" w:tplc="5FEA0F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2D65E33"/>
    <w:multiLevelType w:val="multilevel"/>
    <w:tmpl w:val="317E34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565776E"/>
    <w:multiLevelType w:val="hybridMultilevel"/>
    <w:tmpl w:val="57E0A8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9852911"/>
    <w:multiLevelType w:val="hybridMultilevel"/>
    <w:tmpl w:val="19588A1A"/>
    <w:lvl w:ilvl="0" w:tplc="FBAEE630">
      <w:start w:val="1"/>
      <w:numFmt w:val="decimal"/>
      <w:lvlText w:val="%1."/>
      <w:lvlJc w:val="left"/>
      <w:pPr>
        <w:ind w:left="786"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3CE3F53"/>
    <w:multiLevelType w:val="hybridMultilevel"/>
    <w:tmpl w:val="989E70B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6BB10E7"/>
    <w:multiLevelType w:val="hybridMultilevel"/>
    <w:tmpl w:val="5C92E80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0" w15:restartNumberingAfterBreak="0">
    <w:nsid w:val="594D21A6"/>
    <w:multiLevelType w:val="hybridMultilevel"/>
    <w:tmpl w:val="4F0CF1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8AD7E87"/>
    <w:multiLevelType w:val="hybridMultilevel"/>
    <w:tmpl w:val="7606299E"/>
    <w:lvl w:ilvl="0" w:tplc="E7C06B8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8C64C88"/>
    <w:multiLevelType w:val="multilevel"/>
    <w:tmpl w:val="1B340B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9547A87"/>
    <w:multiLevelType w:val="hybridMultilevel"/>
    <w:tmpl w:val="EE48E536"/>
    <w:lvl w:ilvl="0" w:tplc="E7AEAB74">
      <w:start w:val="1"/>
      <w:numFmt w:val="upperLetter"/>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6C780D65"/>
    <w:multiLevelType w:val="hybridMultilevel"/>
    <w:tmpl w:val="989E70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D8B22CD"/>
    <w:multiLevelType w:val="multilevel"/>
    <w:tmpl w:val="7458B80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303392168">
    <w:abstractNumId w:val="13"/>
  </w:num>
  <w:num w:numId="2" w16cid:durableId="2028940266">
    <w:abstractNumId w:val="17"/>
  </w:num>
  <w:num w:numId="3" w16cid:durableId="1376857413">
    <w:abstractNumId w:val="2"/>
  </w:num>
  <w:num w:numId="4" w16cid:durableId="275333000">
    <w:abstractNumId w:val="5"/>
  </w:num>
  <w:num w:numId="5" w16cid:durableId="1743913199">
    <w:abstractNumId w:val="16"/>
  </w:num>
  <w:num w:numId="6" w16cid:durableId="897204081">
    <w:abstractNumId w:val="24"/>
  </w:num>
  <w:num w:numId="7" w16cid:durableId="1997151449">
    <w:abstractNumId w:val="21"/>
  </w:num>
  <w:num w:numId="8" w16cid:durableId="791633367">
    <w:abstractNumId w:val="18"/>
  </w:num>
  <w:num w:numId="9" w16cid:durableId="8728367">
    <w:abstractNumId w:val="22"/>
  </w:num>
  <w:num w:numId="10" w16cid:durableId="240725351">
    <w:abstractNumId w:val="6"/>
  </w:num>
  <w:num w:numId="11" w16cid:durableId="1855722973">
    <w:abstractNumId w:val="14"/>
  </w:num>
  <w:num w:numId="12" w16cid:durableId="369887908">
    <w:abstractNumId w:val="25"/>
  </w:num>
  <w:num w:numId="13" w16cid:durableId="5332494">
    <w:abstractNumId w:val="15"/>
  </w:num>
  <w:num w:numId="14" w16cid:durableId="1964921166">
    <w:abstractNumId w:val="0"/>
  </w:num>
  <w:num w:numId="15" w16cid:durableId="232392490">
    <w:abstractNumId w:val="10"/>
  </w:num>
  <w:num w:numId="16" w16cid:durableId="750394456">
    <w:abstractNumId w:val="20"/>
  </w:num>
  <w:num w:numId="17" w16cid:durableId="973563695">
    <w:abstractNumId w:val="4"/>
  </w:num>
  <w:num w:numId="18" w16cid:durableId="1391490367">
    <w:abstractNumId w:val="3"/>
  </w:num>
  <w:num w:numId="19" w16cid:durableId="321929563">
    <w:abstractNumId w:val="23"/>
  </w:num>
  <w:num w:numId="20" w16cid:durableId="16466678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410118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7047920">
    <w:abstractNumId w:val="11"/>
  </w:num>
  <w:num w:numId="23" w16cid:durableId="1771659256">
    <w:abstractNumId w:val="9"/>
  </w:num>
  <w:num w:numId="24" w16cid:durableId="145363645">
    <w:abstractNumId w:val="19"/>
  </w:num>
  <w:num w:numId="25" w16cid:durableId="1110316629">
    <w:abstractNumId w:val="12"/>
  </w:num>
  <w:num w:numId="26" w16cid:durableId="1618290035">
    <w:abstractNumId w:val="8"/>
  </w:num>
  <w:num w:numId="27" w16cid:durableId="1379470158">
    <w:abstractNumId w:val="7"/>
  </w:num>
  <w:num w:numId="28" w16cid:durableId="791634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10D"/>
    <w:rsid w:val="000004DB"/>
    <w:rsid w:val="00001575"/>
    <w:rsid w:val="00004E1E"/>
    <w:rsid w:val="000065C0"/>
    <w:rsid w:val="0000727F"/>
    <w:rsid w:val="000074E2"/>
    <w:rsid w:val="000129DA"/>
    <w:rsid w:val="000148AE"/>
    <w:rsid w:val="000152DB"/>
    <w:rsid w:val="00027D77"/>
    <w:rsid w:val="00031492"/>
    <w:rsid w:val="000354E4"/>
    <w:rsid w:val="00036259"/>
    <w:rsid w:val="00036C14"/>
    <w:rsid w:val="0004402D"/>
    <w:rsid w:val="00046034"/>
    <w:rsid w:val="00050D37"/>
    <w:rsid w:val="00051A8D"/>
    <w:rsid w:val="00051FA5"/>
    <w:rsid w:val="00052FE7"/>
    <w:rsid w:val="00054C59"/>
    <w:rsid w:val="0005755E"/>
    <w:rsid w:val="00060394"/>
    <w:rsid w:val="0006110E"/>
    <w:rsid w:val="000643EC"/>
    <w:rsid w:val="00065B2F"/>
    <w:rsid w:val="00066525"/>
    <w:rsid w:val="00071466"/>
    <w:rsid w:val="000739AC"/>
    <w:rsid w:val="00073F5A"/>
    <w:rsid w:val="000742BC"/>
    <w:rsid w:val="00074772"/>
    <w:rsid w:val="00077ED1"/>
    <w:rsid w:val="00081B4E"/>
    <w:rsid w:val="00082A4F"/>
    <w:rsid w:val="00084594"/>
    <w:rsid w:val="00085958"/>
    <w:rsid w:val="00086E4D"/>
    <w:rsid w:val="00086FD3"/>
    <w:rsid w:val="000875C9"/>
    <w:rsid w:val="00092B17"/>
    <w:rsid w:val="00092FDD"/>
    <w:rsid w:val="00095B26"/>
    <w:rsid w:val="000971F9"/>
    <w:rsid w:val="000A6668"/>
    <w:rsid w:val="000B54E2"/>
    <w:rsid w:val="000B7CD7"/>
    <w:rsid w:val="000C082A"/>
    <w:rsid w:val="000C08DE"/>
    <w:rsid w:val="000C2115"/>
    <w:rsid w:val="000C5238"/>
    <w:rsid w:val="000C5AD0"/>
    <w:rsid w:val="000C7755"/>
    <w:rsid w:val="000D150A"/>
    <w:rsid w:val="000D58CF"/>
    <w:rsid w:val="000E05E0"/>
    <w:rsid w:val="000E3FFB"/>
    <w:rsid w:val="000E4873"/>
    <w:rsid w:val="000E6C5B"/>
    <w:rsid w:val="000E7B95"/>
    <w:rsid w:val="000F2171"/>
    <w:rsid w:val="000F6F21"/>
    <w:rsid w:val="001019AA"/>
    <w:rsid w:val="00101D39"/>
    <w:rsid w:val="001021EE"/>
    <w:rsid w:val="00102463"/>
    <w:rsid w:val="001046CA"/>
    <w:rsid w:val="001109D8"/>
    <w:rsid w:val="00111D35"/>
    <w:rsid w:val="00116F93"/>
    <w:rsid w:val="001176CB"/>
    <w:rsid w:val="00132803"/>
    <w:rsid w:val="00133573"/>
    <w:rsid w:val="00134298"/>
    <w:rsid w:val="00135BE5"/>
    <w:rsid w:val="00136CBD"/>
    <w:rsid w:val="001373F1"/>
    <w:rsid w:val="001413F8"/>
    <w:rsid w:val="0014216A"/>
    <w:rsid w:val="00144961"/>
    <w:rsid w:val="001471A3"/>
    <w:rsid w:val="001478F6"/>
    <w:rsid w:val="00154BE2"/>
    <w:rsid w:val="001576B0"/>
    <w:rsid w:val="001609F5"/>
    <w:rsid w:val="00161C92"/>
    <w:rsid w:val="0016419C"/>
    <w:rsid w:val="00164864"/>
    <w:rsid w:val="0016533F"/>
    <w:rsid w:val="00167E65"/>
    <w:rsid w:val="0017433A"/>
    <w:rsid w:val="00176462"/>
    <w:rsid w:val="001774FC"/>
    <w:rsid w:val="001778F9"/>
    <w:rsid w:val="00180ECB"/>
    <w:rsid w:val="00184D43"/>
    <w:rsid w:val="00190074"/>
    <w:rsid w:val="001910F7"/>
    <w:rsid w:val="00191408"/>
    <w:rsid w:val="00191D77"/>
    <w:rsid w:val="0019317A"/>
    <w:rsid w:val="00193D3E"/>
    <w:rsid w:val="001A1A0F"/>
    <w:rsid w:val="001A2AF9"/>
    <w:rsid w:val="001A2F8F"/>
    <w:rsid w:val="001A702E"/>
    <w:rsid w:val="001B0BF6"/>
    <w:rsid w:val="001B43A5"/>
    <w:rsid w:val="001B47D7"/>
    <w:rsid w:val="001B4B0E"/>
    <w:rsid w:val="001B5BF2"/>
    <w:rsid w:val="001D00C4"/>
    <w:rsid w:val="001D1687"/>
    <w:rsid w:val="001D38B7"/>
    <w:rsid w:val="001D3E57"/>
    <w:rsid w:val="001E4DE3"/>
    <w:rsid w:val="001E6DC1"/>
    <w:rsid w:val="001E7FE2"/>
    <w:rsid w:val="001F1C02"/>
    <w:rsid w:val="001F6B08"/>
    <w:rsid w:val="00202685"/>
    <w:rsid w:val="00203C8D"/>
    <w:rsid w:val="00204C62"/>
    <w:rsid w:val="0020618D"/>
    <w:rsid w:val="002066F2"/>
    <w:rsid w:val="002106B3"/>
    <w:rsid w:val="0021198D"/>
    <w:rsid w:val="002202F4"/>
    <w:rsid w:val="00225571"/>
    <w:rsid w:val="00225734"/>
    <w:rsid w:val="00226C10"/>
    <w:rsid w:val="0023085E"/>
    <w:rsid w:val="00231594"/>
    <w:rsid w:val="00233EF8"/>
    <w:rsid w:val="0023540B"/>
    <w:rsid w:val="002361BE"/>
    <w:rsid w:val="0023788C"/>
    <w:rsid w:val="00240F43"/>
    <w:rsid w:val="00244CDE"/>
    <w:rsid w:val="00250C65"/>
    <w:rsid w:val="002510F0"/>
    <w:rsid w:val="00253293"/>
    <w:rsid w:val="00253DD3"/>
    <w:rsid w:val="0025526A"/>
    <w:rsid w:val="002622F7"/>
    <w:rsid w:val="00266D66"/>
    <w:rsid w:val="00267B13"/>
    <w:rsid w:val="00270F84"/>
    <w:rsid w:val="0027134A"/>
    <w:rsid w:val="00273CAD"/>
    <w:rsid w:val="00273CB1"/>
    <w:rsid w:val="00276049"/>
    <w:rsid w:val="0028094B"/>
    <w:rsid w:val="00285629"/>
    <w:rsid w:val="00286D58"/>
    <w:rsid w:val="00291C00"/>
    <w:rsid w:val="00293197"/>
    <w:rsid w:val="00296181"/>
    <w:rsid w:val="002A06BB"/>
    <w:rsid w:val="002A21CF"/>
    <w:rsid w:val="002A44C6"/>
    <w:rsid w:val="002A5006"/>
    <w:rsid w:val="002A568C"/>
    <w:rsid w:val="002B2002"/>
    <w:rsid w:val="002B38A0"/>
    <w:rsid w:val="002B3D57"/>
    <w:rsid w:val="002B448D"/>
    <w:rsid w:val="002B53ED"/>
    <w:rsid w:val="002C0748"/>
    <w:rsid w:val="002C157B"/>
    <w:rsid w:val="002C3438"/>
    <w:rsid w:val="002C5659"/>
    <w:rsid w:val="002D10C0"/>
    <w:rsid w:val="002D1358"/>
    <w:rsid w:val="002E508B"/>
    <w:rsid w:val="002E5FB4"/>
    <w:rsid w:val="002E7560"/>
    <w:rsid w:val="002F0615"/>
    <w:rsid w:val="002F51EE"/>
    <w:rsid w:val="002F5284"/>
    <w:rsid w:val="002F605D"/>
    <w:rsid w:val="002F6C05"/>
    <w:rsid w:val="0030136E"/>
    <w:rsid w:val="00306902"/>
    <w:rsid w:val="00310C42"/>
    <w:rsid w:val="00312009"/>
    <w:rsid w:val="00314331"/>
    <w:rsid w:val="00326814"/>
    <w:rsid w:val="0033333F"/>
    <w:rsid w:val="00333516"/>
    <w:rsid w:val="0033670C"/>
    <w:rsid w:val="00342BCB"/>
    <w:rsid w:val="0034695D"/>
    <w:rsid w:val="003501A0"/>
    <w:rsid w:val="00351A1E"/>
    <w:rsid w:val="0035323E"/>
    <w:rsid w:val="003532DD"/>
    <w:rsid w:val="00354FB0"/>
    <w:rsid w:val="00357E50"/>
    <w:rsid w:val="00364D25"/>
    <w:rsid w:val="00364F8F"/>
    <w:rsid w:val="0037152E"/>
    <w:rsid w:val="00380C10"/>
    <w:rsid w:val="00381C96"/>
    <w:rsid w:val="00383B2E"/>
    <w:rsid w:val="003841E0"/>
    <w:rsid w:val="0038782C"/>
    <w:rsid w:val="00387940"/>
    <w:rsid w:val="00392B17"/>
    <w:rsid w:val="003A66D9"/>
    <w:rsid w:val="003A67C7"/>
    <w:rsid w:val="003A6B6E"/>
    <w:rsid w:val="003A7E52"/>
    <w:rsid w:val="003B1B79"/>
    <w:rsid w:val="003B375E"/>
    <w:rsid w:val="003C0AA4"/>
    <w:rsid w:val="003C3100"/>
    <w:rsid w:val="003C6458"/>
    <w:rsid w:val="003C7C56"/>
    <w:rsid w:val="003D0200"/>
    <w:rsid w:val="003D34CE"/>
    <w:rsid w:val="003D4DDA"/>
    <w:rsid w:val="003D5EE1"/>
    <w:rsid w:val="003D6D6F"/>
    <w:rsid w:val="003E1FA4"/>
    <w:rsid w:val="003E4237"/>
    <w:rsid w:val="003E4B6A"/>
    <w:rsid w:val="003E681F"/>
    <w:rsid w:val="003E698D"/>
    <w:rsid w:val="003E7170"/>
    <w:rsid w:val="003F7228"/>
    <w:rsid w:val="004016F4"/>
    <w:rsid w:val="0041265C"/>
    <w:rsid w:val="00414580"/>
    <w:rsid w:val="00414A2E"/>
    <w:rsid w:val="00415D24"/>
    <w:rsid w:val="00416DC0"/>
    <w:rsid w:val="004170E3"/>
    <w:rsid w:val="00417B3C"/>
    <w:rsid w:val="004200D1"/>
    <w:rsid w:val="0042159C"/>
    <w:rsid w:val="00425705"/>
    <w:rsid w:val="00426DC3"/>
    <w:rsid w:val="00426FEE"/>
    <w:rsid w:val="004273A9"/>
    <w:rsid w:val="0042795A"/>
    <w:rsid w:val="004325AE"/>
    <w:rsid w:val="00433973"/>
    <w:rsid w:val="00433C83"/>
    <w:rsid w:val="00440AA2"/>
    <w:rsid w:val="004519AD"/>
    <w:rsid w:val="00452BB2"/>
    <w:rsid w:val="00452FA3"/>
    <w:rsid w:val="004541F8"/>
    <w:rsid w:val="0045470A"/>
    <w:rsid w:val="00456C62"/>
    <w:rsid w:val="00460B64"/>
    <w:rsid w:val="00461311"/>
    <w:rsid w:val="00465D4B"/>
    <w:rsid w:val="00470335"/>
    <w:rsid w:val="00483107"/>
    <w:rsid w:val="004843C5"/>
    <w:rsid w:val="0048601B"/>
    <w:rsid w:val="00492291"/>
    <w:rsid w:val="00497C58"/>
    <w:rsid w:val="004A257C"/>
    <w:rsid w:val="004A2966"/>
    <w:rsid w:val="004A376F"/>
    <w:rsid w:val="004A4C7D"/>
    <w:rsid w:val="004A4F6E"/>
    <w:rsid w:val="004A5E3B"/>
    <w:rsid w:val="004B0D4F"/>
    <w:rsid w:val="004B1B9A"/>
    <w:rsid w:val="004B3CC0"/>
    <w:rsid w:val="004B580D"/>
    <w:rsid w:val="004C0683"/>
    <w:rsid w:val="004C0FB1"/>
    <w:rsid w:val="004C11F3"/>
    <w:rsid w:val="004C2755"/>
    <w:rsid w:val="004C7C65"/>
    <w:rsid w:val="004C7EC7"/>
    <w:rsid w:val="004D1FE0"/>
    <w:rsid w:val="004D414E"/>
    <w:rsid w:val="004D4650"/>
    <w:rsid w:val="004D6517"/>
    <w:rsid w:val="004D723E"/>
    <w:rsid w:val="004D75A1"/>
    <w:rsid w:val="004E27F7"/>
    <w:rsid w:val="004E6B18"/>
    <w:rsid w:val="004F2001"/>
    <w:rsid w:val="004F4050"/>
    <w:rsid w:val="004F5618"/>
    <w:rsid w:val="004F5684"/>
    <w:rsid w:val="004F5EA7"/>
    <w:rsid w:val="004F65A1"/>
    <w:rsid w:val="00507AB2"/>
    <w:rsid w:val="00515B4B"/>
    <w:rsid w:val="0051691E"/>
    <w:rsid w:val="00516BE1"/>
    <w:rsid w:val="0052004B"/>
    <w:rsid w:val="00521081"/>
    <w:rsid w:val="005252FB"/>
    <w:rsid w:val="00527816"/>
    <w:rsid w:val="00533B29"/>
    <w:rsid w:val="005378D0"/>
    <w:rsid w:val="00547A1F"/>
    <w:rsid w:val="0055057F"/>
    <w:rsid w:val="00550715"/>
    <w:rsid w:val="00550D5A"/>
    <w:rsid w:val="0055111E"/>
    <w:rsid w:val="00552B05"/>
    <w:rsid w:val="005562C4"/>
    <w:rsid w:val="005604EC"/>
    <w:rsid w:val="005607E2"/>
    <w:rsid w:val="00560D85"/>
    <w:rsid w:val="005652A4"/>
    <w:rsid w:val="0056687B"/>
    <w:rsid w:val="0057289E"/>
    <w:rsid w:val="0057350B"/>
    <w:rsid w:val="00575768"/>
    <w:rsid w:val="00580EB9"/>
    <w:rsid w:val="00585DDB"/>
    <w:rsid w:val="0058734C"/>
    <w:rsid w:val="0059126E"/>
    <w:rsid w:val="00592E63"/>
    <w:rsid w:val="00596886"/>
    <w:rsid w:val="005A278C"/>
    <w:rsid w:val="005A64F7"/>
    <w:rsid w:val="005A6CE0"/>
    <w:rsid w:val="005B03F1"/>
    <w:rsid w:val="005B4685"/>
    <w:rsid w:val="005B4DF4"/>
    <w:rsid w:val="005B5483"/>
    <w:rsid w:val="005C49CE"/>
    <w:rsid w:val="005C7008"/>
    <w:rsid w:val="005D2442"/>
    <w:rsid w:val="005D518B"/>
    <w:rsid w:val="005D6375"/>
    <w:rsid w:val="005D6FA2"/>
    <w:rsid w:val="005E0DD8"/>
    <w:rsid w:val="005E11DB"/>
    <w:rsid w:val="005E5C92"/>
    <w:rsid w:val="005E5FBC"/>
    <w:rsid w:val="005F1356"/>
    <w:rsid w:val="00605657"/>
    <w:rsid w:val="006062AA"/>
    <w:rsid w:val="00611FA6"/>
    <w:rsid w:val="00613070"/>
    <w:rsid w:val="00614665"/>
    <w:rsid w:val="00614D55"/>
    <w:rsid w:val="00614F90"/>
    <w:rsid w:val="0061678E"/>
    <w:rsid w:val="0062331F"/>
    <w:rsid w:val="00623F30"/>
    <w:rsid w:val="00625CA6"/>
    <w:rsid w:val="00626D59"/>
    <w:rsid w:val="0063098B"/>
    <w:rsid w:val="00631BA2"/>
    <w:rsid w:val="006359DA"/>
    <w:rsid w:val="00637B77"/>
    <w:rsid w:val="00642097"/>
    <w:rsid w:val="006436C9"/>
    <w:rsid w:val="00644C57"/>
    <w:rsid w:val="006464E5"/>
    <w:rsid w:val="00650D2A"/>
    <w:rsid w:val="00652CC6"/>
    <w:rsid w:val="00661EF2"/>
    <w:rsid w:val="006629EF"/>
    <w:rsid w:val="0067449B"/>
    <w:rsid w:val="00680CAB"/>
    <w:rsid w:val="0068623B"/>
    <w:rsid w:val="0068628C"/>
    <w:rsid w:val="006867D5"/>
    <w:rsid w:val="006918A1"/>
    <w:rsid w:val="00692E16"/>
    <w:rsid w:val="006936F5"/>
    <w:rsid w:val="00693AA3"/>
    <w:rsid w:val="00694328"/>
    <w:rsid w:val="00694834"/>
    <w:rsid w:val="00696D26"/>
    <w:rsid w:val="006A12E4"/>
    <w:rsid w:val="006A3C77"/>
    <w:rsid w:val="006A50EC"/>
    <w:rsid w:val="006A518A"/>
    <w:rsid w:val="006B3B75"/>
    <w:rsid w:val="006B4457"/>
    <w:rsid w:val="006B6797"/>
    <w:rsid w:val="006C224A"/>
    <w:rsid w:val="006C4866"/>
    <w:rsid w:val="006C53FE"/>
    <w:rsid w:val="006C56DA"/>
    <w:rsid w:val="006C57F0"/>
    <w:rsid w:val="006D24DE"/>
    <w:rsid w:val="006D40DE"/>
    <w:rsid w:val="006E0BB0"/>
    <w:rsid w:val="006E17C5"/>
    <w:rsid w:val="006E19DE"/>
    <w:rsid w:val="006E7F43"/>
    <w:rsid w:val="006F127C"/>
    <w:rsid w:val="006F235F"/>
    <w:rsid w:val="006F559D"/>
    <w:rsid w:val="006F6D8C"/>
    <w:rsid w:val="006F6E62"/>
    <w:rsid w:val="006F74B4"/>
    <w:rsid w:val="007035DB"/>
    <w:rsid w:val="00703DB2"/>
    <w:rsid w:val="00705850"/>
    <w:rsid w:val="00705862"/>
    <w:rsid w:val="00707C9D"/>
    <w:rsid w:val="00713598"/>
    <w:rsid w:val="00720BB1"/>
    <w:rsid w:val="007222BA"/>
    <w:rsid w:val="00722ED9"/>
    <w:rsid w:val="00723816"/>
    <w:rsid w:val="00723D12"/>
    <w:rsid w:val="00724890"/>
    <w:rsid w:val="00727058"/>
    <w:rsid w:val="00727EB3"/>
    <w:rsid w:val="00733698"/>
    <w:rsid w:val="00737CF1"/>
    <w:rsid w:val="007411AB"/>
    <w:rsid w:val="00741C1C"/>
    <w:rsid w:val="00746D47"/>
    <w:rsid w:val="00755C29"/>
    <w:rsid w:val="00760D1E"/>
    <w:rsid w:val="00761D62"/>
    <w:rsid w:val="0076542A"/>
    <w:rsid w:val="007659CD"/>
    <w:rsid w:val="00767388"/>
    <w:rsid w:val="00767F34"/>
    <w:rsid w:val="00767FBE"/>
    <w:rsid w:val="00770FC7"/>
    <w:rsid w:val="007726F2"/>
    <w:rsid w:val="007727BA"/>
    <w:rsid w:val="0077293C"/>
    <w:rsid w:val="00773639"/>
    <w:rsid w:val="00773AE4"/>
    <w:rsid w:val="007753C7"/>
    <w:rsid w:val="00775BF9"/>
    <w:rsid w:val="00782162"/>
    <w:rsid w:val="007837B3"/>
    <w:rsid w:val="00790024"/>
    <w:rsid w:val="00790668"/>
    <w:rsid w:val="00790886"/>
    <w:rsid w:val="00790DB6"/>
    <w:rsid w:val="00793C58"/>
    <w:rsid w:val="007976E3"/>
    <w:rsid w:val="00797AC2"/>
    <w:rsid w:val="007A3D84"/>
    <w:rsid w:val="007A4F2E"/>
    <w:rsid w:val="007A566F"/>
    <w:rsid w:val="007A5C45"/>
    <w:rsid w:val="007A6541"/>
    <w:rsid w:val="007A7A4F"/>
    <w:rsid w:val="007B0712"/>
    <w:rsid w:val="007B323F"/>
    <w:rsid w:val="007B49B0"/>
    <w:rsid w:val="007B63C6"/>
    <w:rsid w:val="007C64BD"/>
    <w:rsid w:val="007D1922"/>
    <w:rsid w:val="007D477B"/>
    <w:rsid w:val="007D720F"/>
    <w:rsid w:val="007D7F58"/>
    <w:rsid w:val="007E1F7A"/>
    <w:rsid w:val="007E32B8"/>
    <w:rsid w:val="007E4186"/>
    <w:rsid w:val="007E6862"/>
    <w:rsid w:val="007E7E1F"/>
    <w:rsid w:val="007F09DC"/>
    <w:rsid w:val="007F2102"/>
    <w:rsid w:val="007F2926"/>
    <w:rsid w:val="007F3DC6"/>
    <w:rsid w:val="007F5F6F"/>
    <w:rsid w:val="00803B8A"/>
    <w:rsid w:val="0080496C"/>
    <w:rsid w:val="00811798"/>
    <w:rsid w:val="008149EB"/>
    <w:rsid w:val="00817CA4"/>
    <w:rsid w:val="00817EFE"/>
    <w:rsid w:val="0082041E"/>
    <w:rsid w:val="00823FD9"/>
    <w:rsid w:val="0082410D"/>
    <w:rsid w:val="00832F92"/>
    <w:rsid w:val="008334FF"/>
    <w:rsid w:val="00833897"/>
    <w:rsid w:val="00834AAC"/>
    <w:rsid w:val="00842DCD"/>
    <w:rsid w:val="00853957"/>
    <w:rsid w:val="00856702"/>
    <w:rsid w:val="008570FA"/>
    <w:rsid w:val="00860A5B"/>
    <w:rsid w:val="00861818"/>
    <w:rsid w:val="00862AA5"/>
    <w:rsid w:val="00862AC6"/>
    <w:rsid w:val="00863C09"/>
    <w:rsid w:val="00864CD6"/>
    <w:rsid w:val="008667CE"/>
    <w:rsid w:val="00875905"/>
    <w:rsid w:val="00876905"/>
    <w:rsid w:val="00882A8E"/>
    <w:rsid w:val="00887EEB"/>
    <w:rsid w:val="008909BE"/>
    <w:rsid w:val="0089486C"/>
    <w:rsid w:val="00894F26"/>
    <w:rsid w:val="00894FBE"/>
    <w:rsid w:val="008A0D6B"/>
    <w:rsid w:val="008A2BFE"/>
    <w:rsid w:val="008A3538"/>
    <w:rsid w:val="008A3B6C"/>
    <w:rsid w:val="008A3C6B"/>
    <w:rsid w:val="008A7C27"/>
    <w:rsid w:val="008B0A50"/>
    <w:rsid w:val="008B2CD4"/>
    <w:rsid w:val="008B345A"/>
    <w:rsid w:val="008C20A0"/>
    <w:rsid w:val="008C6E20"/>
    <w:rsid w:val="008D1201"/>
    <w:rsid w:val="008D22D3"/>
    <w:rsid w:val="008D383B"/>
    <w:rsid w:val="008D5E45"/>
    <w:rsid w:val="008D6BC8"/>
    <w:rsid w:val="008E2F60"/>
    <w:rsid w:val="008E308D"/>
    <w:rsid w:val="008E4AD9"/>
    <w:rsid w:val="008E7755"/>
    <w:rsid w:val="008F27E7"/>
    <w:rsid w:val="008F305E"/>
    <w:rsid w:val="008F3A3C"/>
    <w:rsid w:val="008F68DD"/>
    <w:rsid w:val="008F7EBF"/>
    <w:rsid w:val="00904439"/>
    <w:rsid w:val="00904FCE"/>
    <w:rsid w:val="009068A5"/>
    <w:rsid w:val="0091268B"/>
    <w:rsid w:val="00913C4E"/>
    <w:rsid w:val="00913E80"/>
    <w:rsid w:val="0092069F"/>
    <w:rsid w:val="00924D9B"/>
    <w:rsid w:val="00925096"/>
    <w:rsid w:val="00926513"/>
    <w:rsid w:val="00933805"/>
    <w:rsid w:val="00934A2F"/>
    <w:rsid w:val="00935004"/>
    <w:rsid w:val="00935BD8"/>
    <w:rsid w:val="00936034"/>
    <w:rsid w:val="009407BA"/>
    <w:rsid w:val="0094122E"/>
    <w:rsid w:val="009426CD"/>
    <w:rsid w:val="00944381"/>
    <w:rsid w:val="009453AC"/>
    <w:rsid w:val="00945CFF"/>
    <w:rsid w:val="009469DB"/>
    <w:rsid w:val="00951024"/>
    <w:rsid w:val="00954740"/>
    <w:rsid w:val="0095668D"/>
    <w:rsid w:val="009624E8"/>
    <w:rsid w:val="00970166"/>
    <w:rsid w:val="00971469"/>
    <w:rsid w:val="009742F8"/>
    <w:rsid w:val="00982524"/>
    <w:rsid w:val="0098275D"/>
    <w:rsid w:val="00983C96"/>
    <w:rsid w:val="009869F4"/>
    <w:rsid w:val="00993FD0"/>
    <w:rsid w:val="00994D7E"/>
    <w:rsid w:val="009A4F30"/>
    <w:rsid w:val="009A5619"/>
    <w:rsid w:val="009B37D8"/>
    <w:rsid w:val="009B49E5"/>
    <w:rsid w:val="009B6C6C"/>
    <w:rsid w:val="009C0290"/>
    <w:rsid w:val="009C364E"/>
    <w:rsid w:val="009C6819"/>
    <w:rsid w:val="009D1857"/>
    <w:rsid w:val="009D2F1B"/>
    <w:rsid w:val="009D451E"/>
    <w:rsid w:val="009D7448"/>
    <w:rsid w:val="009E1BCF"/>
    <w:rsid w:val="009E1EC0"/>
    <w:rsid w:val="009E2201"/>
    <w:rsid w:val="009E6154"/>
    <w:rsid w:val="009E68A5"/>
    <w:rsid w:val="009F6654"/>
    <w:rsid w:val="00A05089"/>
    <w:rsid w:val="00A074B7"/>
    <w:rsid w:val="00A12A57"/>
    <w:rsid w:val="00A15005"/>
    <w:rsid w:val="00A22665"/>
    <w:rsid w:val="00A226BE"/>
    <w:rsid w:val="00A23A93"/>
    <w:rsid w:val="00A24B99"/>
    <w:rsid w:val="00A25599"/>
    <w:rsid w:val="00A3372E"/>
    <w:rsid w:val="00A35111"/>
    <w:rsid w:val="00A37346"/>
    <w:rsid w:val="00A4727F"/>
    <w:rsid w:val="00A47B09"/>
    <w:rsid w:val="00A50B5E"/>
    <w:rsid w:val="00A53CDC"/>
    <w:rsid w:val="00A5637D"/>
    <w:rsid w:val="00A563C5"/>
    <w:rsid w:val="00A613A5"/>
    <w:rsid w:val="00A65D13"/>
    <w:rsid w:val="00A66EF7"/>
    <w:rsid w:val="00A67334"/>
    <w:rsid w:val="00A766ED"/>
    <w:rsid w:val="00A8165F"/>
    <w:rsid w:val="00A838A6"/>
    <w:rsid w:val="00A83F7C"/>
    <w:rsid w:val="00A8475E"/>
    <w:rsid w:val="00A84A31"/>
    <w:rsid w:val="00A91763"/>
    <w:rsid w:val="00A9730F"/>
    <w:rsid w:val="00AA2E24"/>
    <w:rsid w:val="00AA602F"/>
    <w:rsid w:val="00AA6108"/>
    <w:rsid w:val="00AA62B0"/>
    <w:rsid w:val="00AB3079"/>
    <w:rsid w:val="00AB6437"/>
    <w:rsid w:val="00AC14CA"/>
    <w:rsid w:val="00AC3399"/>
    <w:rsid w:val="00AC4B34"/>
    <w:rsid w:val="00AC5C94"/>
    <w:rsid w:val="00AD0A42"/>
    <w:rsid w:val="00AE1DA2"/>
    <w:rsid w:val="00AE5899"/>
    <w:rsid w:val="00AF412B"/>
    <w:rsid w:val="00AF56E1"/>
    <w:rsid w:val="00AF5B12"/>
    <w:rsid w:val="00AF5E17"/>
    <w:rsid w:val="00AF7AD5"/>
    <w:rsid w:val="00B0013F"/>
    <w:rsid w:val="00B00595"/>
    <w:rsid w:val="00B023C8"/>
    <w:rsid w:val="00B0639F"/>
    <w:rsid w:val="00B067E7"/>
    <w:rsid w:val="00B10252"/>
    <w:rsid w:val="00B221C1"/>
    <w:rsid w:val="00B2354F"/>
    <w:rsid w:val="00B26C9E"/>
    <w:rsid w:val="00B302B7"/>
    <w:rsid w:val="00B306C4"/>
    <w:rsid w:val="00B310DB"/>
    <w:rsid w:val="00B32E82"/>
    <w:rsid w:val="00B4159C"/>
    <w:rsid w:val="00B41938"/>
    <w:rsid w:val="00B44A68"/>
    <w:rsid w:val="00B47575"/>
    <w:rsid w:val="00B476B5"/>
    <w:rsid w:val="00B47BEF"/>
    <w:rsid w:val="00B50C57"/>
    <w:rsid w:val="00B529B7"/>
    <w:rsid w:val="00B60294"/>
    <w:rsid w:val="00B7031D"/>
    <w:rsid w:val="00B70473"/>
    <w:rsid w:val="00B74226"/>
    <w:rsid w:val="00B7471B"/>
    <w:rsid w:val="00B75B38"/>
    <w:rsid w:val="00B7653A"/>
    <w:rsid w:val="00B76F0B"/>
    <w:rsid w:val="00B83210"/>
    <w:rsid w:val="00B83598"/>
    <w:rsid w:val="00B87D64"/>
    <w:rsid w:val="00B92A8C"/>
    <w:rsid w:val="00B92C0A"/>
    <w:rsid w:val="00B93314"/>
    <w:rsid w:val="00B961FB"/>
    <w:rsid w:val="00B97495"/>
    <w:rsid w:val="00BA23DF"/>
    <w:rsid w:val="00BA3946"/>
    <w:rsid w:val="00BA7A6D"/>
    <w:rsid w:val="00BB018C"/>
    <w:rsid w:val="00BB02A9"/>
    <w:rsid w:val="00BB17ED"/>
    <w:rsid w:val="00BB76AB"/>
    <w:rsid w:val="00BB777A"/>
    <w:rsid w:val="00BC7FF7"/>
    <w:rsid w:val="00BD1FE3"/>
    <w:rsid w:val="00BD24EB"/>
    <w:rsid w:val="00BD2E9B"/>
    <w:rsid w:val="00BD7F90"/>
    <w:rsid w:val="00BE3DD5"/>
    <w:rsid w:val="00BE571C"/>
    <w:rsid w:val="00BF00F4"/>
    <w:rsid w:val="00BF20B5"/>
    <w:rsid w:val="00BF2DFB"/>
    <w:rsid w:val="00BF5F4D"/>
    <w:rsid w:val="00BF6CA9"/>
    <w:rsid w:val="00C032BD"/>
    <w:rsid w:val="00C1097E"/>
    <w:rsid w:val="00C10FAB"/>
    <w:rsid w:val="00C12365"/>
    <w:rsid w:val="00C17FA1"/>
    <w:rsid w:val="00C20233"/>
    <w:rsid w:val="00C2082C"/>
    <w:rsid w:val="00C21427"/>
    <w:rsid w:val="00C23A45"/>
    <w:rsid w:val="00C24B85"/>
    <w:rsid w:val="00C333D9"/>
    <w:rsid w:val="00C3745C"/>
    <w:rsid w:val="00C4183D"/>
    <w:rsid w:val="00C44C1B"/>
    <w:rsid w:val="00C47B55"/>
    <w:rsid w:val="00C47BA5"/>
    <w:rsid w:val="00C542E6"/>
    <w:rsid w:val="00C54496"/>
    <w:rsid w:val="00C56DB7"/>
    <w:rsid w:val="00C57AEB"/>
    <w:rsid w:val="00C60BBB"/>
    <w:rsid w:val="00C6208C"/>
    <w:rsid w:val="00C6309C"/>
    <w:rsid w:val="00C633A7"/>
    <w:rsid w:val="00C70CA4"/>
    <w:rsid w:val="00C726D3"/>
    <w:rsid w:val="00C74947"/>
    <w:rsid w:val="00C74A5A"/>
    <w:rsid w:val="00C75DBA"/>
    <w:rsid w:val="00C76630"/>
    <w:rsid w:val="00C766A4"/>
    <w:rsid w:val="00C77BB6"/>
    <w:rsid w:val="00C811DF"/>
    <w:rsid w:val="00C8174B"/>
    <w:rsid w:val="00C8236C"/>
    <w:rsid w:val="00C86528"/>
    <w:rsid w:val="00C90883"/>
    <w:rsid w:val="00C938F8"/>
    <w:rsid w:val="00C94F97"/>
    <w:rsid w:val="00C975C9"/>
    <w:rsid w:val="00CA093A"/>
    <w:rsid w:val="00CA5231"/>
    <w:rsid w:val="00CA5EBD"/>
    <w:rsid w:val="00CA7B17"/>
    <w:rsid w:val="00CB1A56"/>
    <w:rsid w:val="00CB313F"/>
    <w:rsid w:val="00CB39F3"/>
    <w:rsid w:val="00CB674C"/>
    <w:rsid w:val="00CC2400"/>
    <w:rsid w:val="00CD5915"/>
    <w:rsid w:val="00CD5D17"/>
    <w:rsid w:val="00CD619F"/>
    <w:rsid w:val="00CD68CE"/>
    <w:rsid w:val="00CD776C"/>
    <w:rsid w:val="00CE02F2"/>
    <w:rsid w:val="00CE0F98"/>
    <w:rsid w:val="00CE68C4"/>
    <w:rsid w:val="00CE751A"/>
    <w:rsid w:val="00CF099D"/>
    <w:rsid w:val="00CF2C21"/>
    <w:rsid w:val="00D06381"/>
    <w:rsid w:val="00D06CF9"/>
    <w:rsid w:val="00D11798"/>
    <w:rsid w:val="00D14D1C"/>
    <w:rsid w:val="00D200C6"/>
    <w:rsid w:val="00D220E2"/>
    <w:rsid w:val="00D22BDD"/>
    <w:rsid w:val="00D235D6"/>
    <w:rsid w:val="00D2572C"/>
    <w:rsid w:val="00D25A48"/>
    <w:rsid w:val="00D30446"/>
    <w:rsid w:val="00D32499"/>
    <w:rsid w:val="00D32832"/>
    <w:rsid w:val="00D32AF5"/>
    <w:rsid w:val="00D3454C"/>
    <w:rsid w:val="00D35789"/>
    <w:rsid w:val="00D3627E"/>
    <w:rsid w:val="00D46458"/>
    <w:rsid w:val="00D53235"/>
    <w:rsid w:val="00D63742"/>
    <w:rsid w:val="00D652F1"/>
    <w:rsid w:val="00D66279"/>
    <w:rsid w:val="00D71E08"/>
    <w:rsid w:val="00D7378E"/>
    <w:rsid w:val="00D7430F"/>
    <w:rsid w:val="00D76719"/>
    <w:rsid w:val="00D8127A"/>
    <w:rsid w:val="00D8300B"/>
    <w:rsid w:val="00D85A2B"/>
    <w:rsid w:val="00D860EA"/>
    <w:rsid w:val="00D90DAE"/>
    <w:rsid w:val="00D91F66"/>
    <w:rsid w:val="00DA30C8"/>
    <w:rsid w:val="00DA3741"/>
    <w:rsid w:val="00DA4DF4"/>
    <w:rsid w:val="00DA54C9"/>
    <w:rsid w:val="00DA6605"/>
    <w:rsid w:val="00DA7222"/>
    <w:rsid w:val="00DB1797"/>
    <w:rsid w:val="00DB46BF"/>
    <w:rsid w:val="00DB72EE"/>
    <w:rsid w:val="00DB7585"/>
    <w:rsid w:val="00DC0947"/>
    <w:rsid w:val="00DC45E8"/>
    <w:rsid w:val="00DC6679"/>
    <w:rsid w:val="00DD0F15"/>
    <w:rsid w:val="00DD1D8A"/>
    <w:rsid w:val="00DE7262"/>
    <w:rsid w:val="00DF29B8"/>
    <w:rsid w:val="00DF2F6E"/>
    <w:rsid w:val="00DF4A71"/>
    <w:rsid w:val="00DF6D37"/>
    <w:rsid w:val="00E001DD"/>
    <w:rsid w:val="00E01213"/>
    <w:rsid w:val="00E02DC3"/>
    <w:rsid w:val="00E10A96"/>
    <w:rsid w:val="00E1457C"/>
    <w:rsid w:val="00E15D1A"/>
    <w:rsid w:val="00E16A2C"/>
    <w:rsid w:val="00E17CED"/>
    <w:rsid w:val="00E17EAA"/>
    <w:rsid w:val="00E2047E"/>
    <w:rsid w:val="00E20801"/>
    <w:rsid w:val="00E244B2"/>
    <w:rsid w:val="00E24C0C"/>
    <w:rsid w:val="00E3056B"/>
    <w:rsid w:val="00E30ACE"/>
    <w:rsid w:val="00E3397E"/>
    <w:rsid w:val="00E3718F"/>
    <w:rsid w:val="00E373E8"/>
    <w:rsid w:val="00E407C2"/>
    <w:rsid w:val="00E40AF1"/>
    <w:rsid w:val="00E43978"/>
    <w:rsid w:val="00E44FF7"/>
    <w:rsid w:val="00E4713B"/>
    <w:rsid w:val="00E479D4"/>
    <w:rsid w:val="00E50275"/>
    <w:rsid w:val="00E52488"/>
    <w:rsid w:val="00E52A5C"/>
    <w:rsid w:val="00E533EC"/>
    <w:rsid w:val="00E540CC"/>
    <w:rsid w:val="00E54CDA"/>
    <w:rsid w:val="00E56208"/>
    <w:rsid w:val="00E60238"/>
    <w:rsid w:val="00E651AB"/>
    <w:rsid w:val="00E70659"/>
    <w:rsid w:val="00E7669A"/>
    <w:rsid w:val="00E7693F"/>
    <w:rsid w:val="00E806B7"/>
    <w:rsid w:val="00E837D6"/>
    <w:rsid w:val="00E83A4A"/>
    <w:rsid w:val="00E856D8"/>
    <w:rsid w:val="00E85B2A"/>
    <w:rsid w:val="00E87014"/>
    <w:rsid w:val="00E92A3B"/>
    <w:rsid w:val="00E92CD5"/>
    <w:rsid w:val="00E936F4"/>
    <w:rsid w:val="00E94D35"/>
    <w:rsid w:val="00E97A50"/>
    <w:rsid w:val="00E97BBA"/>
    <w:rsid w:val="00EA4874"/>
    <w:rsid w:val="00EA58B6"/>
    <w:rsid w:val="00EB025B"/>
    <w:rsid w:val="00EB04B2"/>
    <w:rsid w:val="00EB0D6B"/>
    <w:rsid w:val="00EB797E"/>
    <w:rsid w:val="00EC038E"/>
    <w:rsid w:val="00EC0EF7"/>
    <w:rsid w:val="00EC5685"/>
    <w:rsid w:val="00EC6227"/>
    <w:rsid w:val="00EC75FE"/>
    <w:rsid w:val="00ED17B3"/>
    <w:rsid w:val="00ED28EA"/>
    <w:rsid w:val="00ED7946"/>
    <w:rsid w:val="00EE4F7C"/>
    <w:rsid w:val="00EF2178"/>
    <w:rsid w:val="00EF4308"/>
    <w:rsid w:val="00F00911"/>
    <w:rsid w:val="00F016A0"/>
    <w:rsid w:val="00F048E9"/>
    <w:rsid w:val="00F106E2"/>
    <w:rsid w:val="00F10762"/>
    <w:rsid w:val="00F12E86"/>
    <w:rsid w:val="00F134E9"/>
    <w:rsid w:val="00F15298"/>
    <w:rsid w:val="00F21CF8"/>
    <w:rsid w:val="00F221FA"/>
    <w:rsid w:val="00F25708"/>
    <w:rsid w:val="00F263FC"/>
    <w:rsid w:val="00F306F4"/>
    <w:rsid w:val="00F35343"/>
    <w:rsid w:val="00F3571E"/>
    <w:rsid w:val="00F40526"/>
    <w:rsid w:val="00F456D6"/>
    <w:rsid w:val="00F46B83"/>
    <w:rsid w:val="00F54D9F"/>
    <w:rsid w:val="00F55C6A"/>
    <w:rsid w:val="00F55CC3"/>
    <w:rsid w:val="00F57AA7"/>
    <w:rsid w:val="00F6138E"/>
    <w:rsid w:val="00F616AD"/>
    <w:rsid w:val="00F6226E"/>
    <w:rsid w:val="00F622B8"/>
    <w:rsid w:val="00F642F9"/>
    <w:rsid w:val="00F65DA8"/>
    <w:rsid w:val="00F72454"/>
    <w:rsid w:val="00F7259F"/>
    <w:rsid w:val="00F77300"/>
    <w:rsid w:val="00F80D11"/>
    <w:rsid w:val="00F863F6"/>
    <w:rsid w:val="00F91691"/>
    <w:rsid w:val="00F939D7"/>
    <w:rsid w:val="00F9748C"/>
    <w:rsid w:val="00F97B20"/>
    <w:rsid w:val="00FA1051"/>
    <w:rsid w:val="00FA148B"/>
    <w:rsid w:val="00FA2FD9"/>
    <w:rsid w:val="00FA3834"/>
    <w:rsid w:val="00FB2A46"/>
    <w:rsid w:val="00FB5CD5"/>
    <w:rsid w:val="00FB6196"/>
    <w:rsid w:val="00FC3668"/>
    <w:rsid w:val="00FC6D54"/>
    <w:rsid w:val="00FD1E66"/>
    <w:rsid w:val="00FD26F3"/>
    <w:rsid w:val="00FD6960"/>
    <w:rsid w:val="00FE3220"/>
    <w:rsid w:val="00FE3AD5"/>
    <w:rsid w:val="00FF0FE0"/>
    <w:rsid w:val="00FF228B"/>
    <w:rsid w:val="00FF3DBD"/>
    <w:rsid w:val="00FF46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4B798"/>
  <w15:docId w15:val="{F1E29C3B-0B59-44DC-B94C-E965989C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A6B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A51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18A"/>
    <w:rPr>
      <w:rFonts w:ascii="Tahoma" w:hAnsi="Tahoma" w:cs="Tahoma"/>
      <w:sz w:val="16"/>
      <w:szCs w:val="16"/>
    </w:rPr>
  </w:style>
  <w:style w:type="paragraph" w:styleId="Encabezado">
    <w:name w:val="header"/>
    <w:basedOn w:val="Normal"/>
    <w:link w:val="EncabezadoCar"/>
    <w:unhideWhenUsed/>
    <w:rsid w:val="00790668"/>
    <w:pPr>
      <w:tabs>
        <w:tab w:val="center" w:pos="4419"/>
        <w:tab w:val="right" w:pos="8838"/>
      </w:tabs>
      <w:spacing w:after="0" w:line="240" w:lineRule="auto"/>
    </w:pPr>
  </w:style>
  <w:style w:type="character" w:customStyle="1" w:styleId="EncabezadoCar">
    <w:name w:val="Encabezado Car"/>
    <w:basedOn w:val="Fuentedeprrafopredeter"/>
    <w:link w:val="Encabezado"/>
    <w:rsid w:val="00790668"/>
  </w:style>
  <w:style w:type="paragraph" w:styleId="Piedepgina">
    <w:name w:val="footer"/>
    <w:basedOn w:val="Normal"/>
    <w:link w:val="PiedepginaCar"/>
    <w:uiPriority w:val="99"/>
    <w:unhideWhenUsed/>
    <w:rsid w:val="007906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668"/>
  </w:style>
  <w:style w:type="character" w:customStyle="1" w:styleId="Ttulo2Car">
    <w:name w:val="Título 2 Car"/>
    <w:basedOn w:val="Fuentedeprrafopredeter"/>
    <w:link w:val="Ttulo2"/>
    <w:uiPriority w:val="9"/>
    <w:rsid w:val="003A6B6E"/>
    <w:rPr>
      <w:rFonts w:asciiTheme="majorHAnsi" w:eastAsiaTheme="majorEastAsia" w:hAnsiTheme="majorHAnsi" w:cstheme="majorBidi"/>
      <w:color w:val="365F91" w:themeColor="accent1" w:themeShade="BF"/>
      <w:sz w:val="26"/>
      <w:szCs w:val="26"/>
    </w:rPr>
  </w:style>
  <w:style w:type="paragraph" w:styleId="Textonotapie">
    <w:name w:val="footnote text"/>
    <w:basedOn w:val="Normal"/>
    <w:link w:val="TextonotapieCar"/>
    <w:semiHidden/>
    <w:rsid w:val="00EF430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F4308"/>
    <w:rPr>
      <w:rFonts w:ascii="Times New Roman" w:eastAsia="Times New Roman" w:hAnsi="Times New Roman" w:cs="Times New Roman"/>
      <w:sz w:val="20"/>
      <w:szCs w:val="20"/>
      <w:lang w:val="es-ES" w:eastAsia="es-ES"/>
    </w:rPr>
  </w:style>
  <w:style w:type="character" w:styleId="Refdenotaalpie">
    <w:name w:val="footnote reference"/>
    <w:semiHidden/>
    <w:rsid w:val="00EF4308"/>
    <w:rPr>
      <w:vertAlign w:val="superscript"/>
    </w:rPr>
  </w:style>
  <w:style w:type="paragraph" w:styleId="Prrafodelista">
    <w:name w:val="List Paragraph"/>
    <w:basedOn w:val="Normal"/>
    <w:uiPriority w:val="34"/>
    <w:qFormat/>
    <w:rsid w:val="0045470A"/>
    <w:pPr>
      <w:ind w:left="720"/>
      <w:contextualSpacing/>
    </w:pPr>
  </w:style>
  <w:style w:type="table" w:styleId="Tablaconcuadrcula">
    <w:name w:val="Table Grid"/>
    <w:basedOn w:val="Tablanormal"/>
    <w:uiPriority w:val="59"/>
    <w:rsid w:val="00483107"/>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483107"/>
    <w:rPr>
      <w:color w:val="0000FF"/>
      <w:u w:val="single"/>
    </w:rPr>
  </w:style>
  <w:style w:type="paragraph" w:styleId="Sinespaciado">
    <w:name w:val="No Spacing"/>
    <w:uiPriority w:val="1"/>
    <w:qFormat/>
    <w:rsid w:val="00483107"/>
    <w:pPr>
      <w:spacing w:after="0" w:line="240" w:lineRule="auto"/>
    </w:pPr>
  </w:style>
  <w:style w:type="character" w:styleId="Mencinsinresolver">
    <w:name w:val="Unresolved Mention"/>
    <w:basedOn w:val="Fuentedeprrafopredeter"/>
    <w:uiPriority w:val="99"/>
    <w:semiHidden/>
    <w:unhideWhenUsed/>
    <w:rsid w:val="00592E63"/>
    <w:rPr>
      <w:color w:val="605E5C"/>
      <w:shd w:val="clear" w:color="auto" w:fill="E1DFDD"/>
    </w:rPr>
  </w:style>
  <w:style w:type="paragraph" w:styleId="NormalWeb">
    <w:name w:val="Normal (Web)"/>
    <w:basedOn w:val="Normal"/>
    <w:uiPriority w:val="99"/>
    <w:semiHidden/>
    <w:unhideWhenUsed/>
    <w:rsid w:val="00592E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0948">
      <w:bodyDiv w:val="1"/>
      <w:marLeft w:val="0"/>
      <w:marRight w:val="0"/>
      <w:marTop w:val="0"/>
      <w:marBottom w:val="0"/>
      <w:divBdr>
        <w:top w:val="none" w:sz="0" w:space="0" w:color="auto"/>
        <w:left w:val="none" w:sz="0" w:space="0" w:color="auto"/>
        <w:bottom w:val="none" w:sz="0" w:space="0" w:color="auto"/>
        <w:right w:val="none" w:sz="0" w:space="0" w:color="auto"/>
      </w:divBdr>
    </w:div>
    <w:div w:id="310017369">
      <w:bodyDiv w:val="1"/>
      <w:marLeft w:val="0"/>
      <w:marRight w:val="0"/>
      <w:marTop w:val="0"/>
      <w:marBottom w:val="0"/>
      <w:divBdr>
        <w:top w:val="none" w:sz="0" w:space="0" w:color="auto"/>
        <w:left w:val="none" w:sz="0" w:space="0" w:color="auto"/>
        <w:bottom w:val="none" w:sz="0" w:space="0" w:color="auto"/>
        <w:right w:val="none" w:sz="0" w:space="0" w:color="auto"/>
      </w:divBdr>
    </w:div>
    <w:div w:id="559443936">
      <w:bodyDiv w:val="1"/>
      <w:marLeft w:val="0"/>
      <w:marRight w:val="0"/>
      <w:marTop w:val="0"/>
      <w:marBottom w:val="0"/>
      <w:divBdr>
        <w:top w:val="none" w:sz="0" w:space="0" w:color="auto"/>
        <w:left w:val="none" w:sz="0" w:space="0" w:color="auto"/>
        <w:bottom w:val="none" w:sz="0" w:space="0" w:color="auto"/>
        <w:right w:val="none" w:sz="0" w:space="0" w:color="auto"/>
      </w:divBdr>
    </w:div>
    <w:div w:id="607584371">
      <w:bodyDiv w:val="1"/>
      <w:marLeft w:val="0"/>
      <w:marRight w:val="0"/>
      <w:marTop w:val="0"/>
      <w:marBottom w:val="0"/>
      <w:divBdr>
        <w:top w:val="none" w:sz="0" w:space="0" w:color="auto"/>
        <w:left w:val="none" w:sz="0" w:space="0" w:color="auto"/>
        <w:bottom w:val="none" w:sz="0" w:space="0" w:color="auto"/>
        <w:right w:val="none" w:sz="0" w:space="0" w:color="auto"/>
      </w:divBdr>
    </w:div>
    <w:div w:id="697858053">
      <w:bodyDiv w:val="1"/>
      <w:marLeft w:val="0"/>
      <w:marRight w:val="0"/>
      <w:marTop w:val="0"/>
      <w:marBottom w:val="0"/>
      <w:divBdr>
        <w:top w:val="none" w:sz="0" w:space="0" w:color="auto"/>
        <w:left w:val="none" w:sz="0" w:space="0" w:color="auto"/>
        <w:bottom w:val="none" w:sz="0" w:space="0" w:color="auto"/>
        <w:right w:val="none" w:sz="0" w:space="0" w:color="auto"/>
      </w:divBdr>
    </w:div>
    <w:div w:id="801768981">
      <w:bodyDiv w:val="1"/>
      <w:marLeft w:val="0"/>
      <w:marRight w:val="0"/>
      <w:marTop w:val="0"/>
      <w:marBottom w:val="0"/>
      <w:divBdr>
        <w:top w:val="none" w:sz="0" w:space="0" w:color="auto"/>
        <w:left w:val="none" w:sz="0" w:space="0" w:color="auto"/>
        <w:bottom w:val="none" w:sz="0" w:space="0" w:color="auto"/>
        <w:right w:val="none" w:sz="0" w:space="0" w:color="auto"/>
      </w:divBdr>
    </w:div>
    <w:div w:id="809132032">
      <w:bodyDiv w:val="1"/>
      <w:marLeft w:val="0"/>
      <w:marRight w:val="0"/>
      <w:marTop w:val="0"/>
      <w:marBottom w:val="0"/>
      <w:divBdr>
        <w:top w:val="none" w:sz="0" w:space="0" w:color="auto"/>
        <w:left w:val="none" w:sz="0" w:space="0" w:color="auto"/>
        <w:bottom w:val="none" w:sz="0" w:space="0" w:color="auto"/>
        <w:right w:val="none" w:sz="0" w:space="0" w:color="auto"/>
      </w:divBdr>
    </w:div>
    <w:div w:id="1017851708">
      <w:bodyDiv w:val="1"/>
      <w:marLeft w:val="0"/>
      <w:marRight w:val="0"/>
      <w:marTop w:val="0"/>
      <w:marBottom w:val="0"/>
      <w:divBdr>
        <w:top w:val="none" w:sz="0" w:space="0" w:color="auto"/>
        <w:left w:val="none" w:sz="0" w:space="0" w:color="auto"/>
        <w:bottom w:val="none" w:sz="0" w:space="0" w:color="auto"/>
        <w:right w:val="none" w:sz="0" w:space="0" w:color="auto"/>
      </w:divBdr>
    </w:div>
    <w:div w:id="1141113107">
      <w:bodyDiv w:val="1"/>
      <w:marLeft w:val="0"/>
      <w:marRight w:val="0"/>
      <w:marTop w:val="0"/>
      <w:marBottom w:val="0"/>
      <w:divBdr>
        <w:top w:val="none" w:sz="0" w:space="0" w:color="auto"/>
        <w:left w:val="none" w:sz="0" w:space="0" w:color="auto"/>
        <w:bottom w:val="none" w:sz="0" w:space="0" w:color="auto"/>
        <w:right w:val="none" w:sz="0" w:space="0" w:color="auto"/>
      </w:divBdr>
    </w:div>
    <w:div w:id="1264876447">
      <w:bodyDiv w:val="1"/>
      <w:marLeft w:val="0"/>
      <w:marRight w:val="0"/>
      <w:marTop w:val="0"/>
      <w:marBottom w:val="0"/>
      <w:divBdr>
        <w:top w:val="none" w:sz="0" w:space="0" w:color="auto"/>
        <w:left w:val="none" w:sz="0" w:space="0" w:color="auto"/>
        <w:bottom w:val="none" w:sz="0" w:space="0" w:color="auto"/>
        <w:right w:val="none" w:sz="0" w:space="0" w:color="auto"/>
      </w:divBdr>
    </w:div>
    <w:div w:id="1310671370">
      <w:bodyDiv w:val="1"/>
      <w:marLeft w:val="0"/>
      <w:marRight w:val="0"/>
      <w:marTop w:val="0"/>
      <w:marBottom w:val="0"/>
      <w:divBdr>
        <w:top w:val="none" w:sz="0" w:space="0" w:color="auto"/>
        <w:left w:val="none" w:sz="0" w:space="0" w:color="auto"/>
        <w:bottom w:val="none" w:sz="0" w:space="0" w:color="auto"/>
        <w:right w:val="none" w:sz="0" w:space="0" w:color="auto"/>
      </w:divBdr>
    </w:div>
    <w:div w:id="1352758383">
      <w:bodyDiv w:val="1"/>
      <w:marLeft w:val="0"/>
      <w:marRight w:val="0"/>
      <w:marTop w:val="0"/>
      <w:marBottom w:val="0"/>
      <w:divBdr>
        <w:top w:val="none" w:sz="0" w:space="0" w:color="auto"/>
        <w:left w:val="none" w:sz="0" w:space="0" w:color="auto"/>
        <w:bottom w:val="none" w:sz="0" w:space="0" w:color="auto"/>
        <w:right w:val="none" w:sz="0" w:space="0" w:color="auto"/>
      </w:divBdr>
    </w:div>
    <w:div w:id="1502575414">
      <w:bodyDiv w:val="1"/>
      <w:marLeft w:val="0"/>
      <w:marRight w:val="0"/>
      <w:marTop w:val="0"/>
      <w:marBottom w:val="0"/>
      <w:divBdr>
        <w:top w:val="none" w:sz="0" w:space="0" w:color="auto"/>
        <w:left w:val="none" w:sz="0" w:space="0" w:color="auto"/>
        <w:bottom w:val="none" w:sz="0" w:space="0" w:color="auto"/>
        <w:right w:val="none" w:sz="0" w:space="0" w:color="auto"/>
      </w:divBdr>
    </w:div>
    <w:div w:id="1594238883">
      <w:bodyDiv w:val="1"/>
      <w:marLeft w:val="0"/>
      <w:marRight w:val="0"/>
      <w:marTop w:val="0"/>
      <w:marBottom w:val="0"/>
      <w:divBdr>
        <w:top w:val="none" w:sz="0" w:space="0" w:color="auto"/>
        <w:left w:val="none" w:sz="0" w:space="0" w:color="auto"/>
        <w:bottom w:val="none" w:sz="0" w:space="0" w:color="auto"/>
        <w:right w:val="none" w:sz="0" w:space="0" w:color="auto"/>
      </w:divBdr>
    </w:div>
    <w:div w:id="1600675815">
      <w:bodyDiv w:val="1"/>
      <w:marLeft w:val="0"/>
      <w:marRight w:val="0"/>
      <w:marTop w:val="0"/>
      <w:marBottom w:val="0"/>
      <w:divBdr>
        <w:top w:val="none" w:sz="0" w:space="0" w:color="auto"/>
        <w:left w:val="none" w:sz="0" w:space="0" w:color="auto"/>
        <w:bottom w:val="none" w:sz="0" w:space="0" w:color="auto"/>
        <w:right w:val="none" w:sz="0" w:space="0" w:color="auto"/>
      </w:divBdr>
      <w:divsChild>
        <w:div w:id="1814372360">
          <w:marLeft w:val="0"/>
          <w:marRight w:val="0"/>
          <w:marTop w:val="0"/>
          <w:marBottom w:val="160"/>
          <w:divBdr>
            <w:top w:val="none" w:sz="0" w:space="0" w:color="auto"/>
            <w:left w:val="none" w:sz="0" w:space="0" w:color="auto"/>
            <w:bottom w:val="none" w:sz="0" w:space="0" w:color="auto"/>
            <w:right w:val="none" w:sz="0" w:space="0" w:color="auto"/>
          </w:divBdr>
        </w:div>
        <w:div w:id="1827896797">
          <w:marLeft w:val="0"/>
          <w:marRight w:val="0"/>
          <w:marTop w:val="0"/>
          <w:marBottom w:val="160"/>
          <w:divBdr>
            <w:top w:val="none" w:sz="0" w:space="0" w:color="auto"/>
            <w:left w:val="none" w:sz="0" w:space="0" w:color="auto"/>
            <w:bottom w:val="none" w:sz="0" w:space="0" w:color="auto"/>
            <w:right w:val="none" w:sz="0" w:space="0" w:color="auto"/>
          </w:divBdr>
        </w:div>
        <w:div w:id="1184897642">
          <w:marLeft w:val="0"/>
          <w:marRight w:val="0"/>
          <w:marTop w:val="0"/>
          <w:marBottom w:val="160"/>
          <w:divBdr>
            <w:top w:val="none" w:sz="0" w:space="0" w:color="auto"/>
            <w:left w:val="none" w:sz="0" w:space="0" w:color="auto"/>
            <w:bottom w:val="none" w:sz="0" w:space="0" w:color="auto"/>
            <w:right w:val="none" w:sz="0" w:space="0" w:color="auto"/>
          </w:divBdr>
        </w:div>
        <w:div w:id="1595629523">
          <w:marLeft w:val="0"/>
          <w:marRight w:val="0"/>
          <w:marTop w:val="0"/>
          <w:marBottom w:val="160"/>
          <w:divBdr>
            <w:top w:val="none" w:sz="0" w:space="0" w:color="auto"/>
            <w:left w:val="none" w:sz="0" w:space="0" w:color="auto"/>
            <w:bottom w:val="none" w:sz="0" w:space="0" w:color="auto"/>
            <w:right w:val="none" w:sz="0" w:space="0" w:color="auto"/>
          </w:divBdr>
        </w:div>
        <w:div w:id="1470248815">
          <w:marLeft w:val="0"/>
          <w:marRight w:val="0"/>
          <w:marTop w:val="0"/>
          <w:marBottom w:val="160"/>
          <w:divBdr>
            <w:top w:val="none" w:sz="0" w:space="0" w:color="auto"/>
            <w:left w:val="none" w:sz="0" w:space="0" w:color="auto"/>
            <w:bottom w:val="none" w:sz="0" w:space="0" w:color="auto"/>
            <w:right w:val="none" w:sz="0" w:space="0" w:color="auto"/>
          </w:divBdr>
        </w:div>
        <w:div w:id="1166362801">
          <w:marLeft w:val="0"/>
          <w:marRight w:val="0"/>
          <w:marTop w:val="0"/>
          <w:marBottom w:val="160"/>
          <w:divBdr>
            <w:top w:val="none" w:sz="0" w:space="0" w:color="auto"/>
            <w:left w:val="none" w:sz="0" w:space="0" w:color="auto"/>
            <w:bottom w:val="none" w:sz="0" w:space="0" w:color="auto"/>
            <w:right w:val="none" w:sz="0" w:space="0" w:color="auto"/>
          </w:divBdr>
        </w:div>
        <w:div w:id="1024359748">
          <w:marLeft w:val="0"/>
          <w:marRight w:val="0"/>
          <w:marTop w:val="0"/>
          <w:marBottom w:val="160"/>
          <w:divBdr>
            <w:top w:val="none" w:sz="0" w:space="0" w:color="auto"/>
            <w:left w:val="none" w:sz="0" w:space="0" w:color="auto"/>
            <w:bottom w:val="none" w:sz="0" w:space="0" w:color="auto"/>
            <w:right w:val="none" w:sz="0" w:space="0" w:color="auto"/>
          </w:divBdr>
        </w:div>
        <w:div w:id="1191072288">
          <w:marLeft w:val="0"/>
          <w:marRight w:val="0"/>
          <w:marTop w:val="0"/>
          <w:marBottom w:val="160"/>
          <w:divBdr>
            <w:top w:val="none" w:sz="0" w:space="0" w:color="auto"/>
            <w:left w:val="none" w:sz="0" w:space="0" w:color="auto"/>
            <w:bottom w:val="none" w:sz="0" w:space="0" w:color="auto"/>
            <w:right w:val="none" w:sz="0" w:space="0" w:color="auto"/>
          </w:divBdr>
        </w:div>
        <w:div w:id="823617948">
          <w:marLeft w:val="0"/>
          <w:marRight w:val="0"/>
          <w:marTop w:val="0"/>
          <w:marBottom w:val="160"/>
          <w:divBdr>
            <w:top w:val="none" w:sz="0" w:space="0" w:color="auto"/>
            <w:left w:val="none" w:sz="0" w:space="0" w:color="auto"/>
            <w:bottom w:val="none" w:sz="0" w:space="0" w:color="auto"/>
            <w:right w:val="none" w:sz="0" w:space="0" w:color="auto"/>
          </w:divBdr>
        </w:div>
        <w:div w:id="612252612">
          <w:marLeft w:val="0"/>
          <w:marRight w:val="0"/>
          <w:marTop w:val="0"/>
          <w:marBottom w:val="160"/>
          <w:divBdr>
            <w:top w:val="none" w:sz="0" w:space="0" w:color="auto"/>
            <w:left w:val="none" w:sz="0" w:space="0" w:color="auto"/>
            <w:bottom w:val="none" w:sz="0" w:space="0" w:color="auto"/>
            <w:right w:val="none" w:sz="0" w:space="0" w:color="auto"/>
          </w:divBdr>
        </w:div>
        <w:div w:id="1746731147">
          <w:marLeft w:val="0"/>
          <w:marRight w:val="0"/>
          <w:marTop w:val="0"/>
          <w:marBottom w:val="160"/>
          <w:divBdr>
            <w:top w:val="none" w:sz="0" w:space="0" w:color="auto"/>
            <w:left w:val="none" w:sz="0" w:space="0" w:color="auto"/>
            <w:bottom w:val="none" w:sz="0" w:space="0" w:color="auto"/>
            <w:right w:val="none" w:sz="0" w:space="0" w:color="auto"/>
          </w:divBdr>
        </w:div>
        <w:div w:id="1309046995">
          <w:marLeft w:val="0"/>
          <w:marRight w:val="0"/>
          <w:marTop w:val="0"/>
          <w:marBottom w:val="160"/>
          <w:divBdr>
            <w:top w:val="none" w:sz="0" w:space="0" w:color="auto"/>
            <w:left w:val="none" w:sz="0" w:space="0" w:color="auto"/>
            <w:bottom w:val="none" w:sz="0" w:space="0" w:color="auto"/>
            <w:right w:val="none" w:sz="0" w:space="0" w:color="auto"/>
          </w:divBdr>
        </w:div>
        <w:div w:id="1350326563">
          <w:marLeft w:val="0"/>
          <w:marRight w:val="0"/>
          <w:marTop w:val="0"/>
          <w:marBottom w:val="160"/>
          <w:divBdr>
            <w:top w:val="none" w:sz="0" w:space="0" w:color="auto"/>
            <w:left w:val="none" w:sz="0" w:space="0" w:color="auto"/>
            <w:bottom w:val="none" w:sz="0" w:space="0" w:color="auto"/>
            <w:right w:val="none" w:sz="0" w:space="0" w:color="auto"/>
          </w:divBdr>
        </w:div>
        <w:div w:id="782766284">
          <w:marLeft w:val="0"/>
          <w:marRight w:val="0"/>
          <w:marTop w:val="0"/>
          <w:marBottom w:val="160"/>
          <w:divBdr>
            <w:top w:val="none" w:sz="0" w:space="0" w:color="auto"/>
            <w:left w:val="none" w:sz="0" w:space="0" w:color="auto"/>
            <w:bottom w:val="none" w:sz="0" w:space="0" w:color="auto"/>
            <w:right w:val="none" w:sz="0" w:space="0" w:color="auto"/>
          </w:divBdr>
        </w:div>
        <w:div w:id="1600287344">
          <w:marLeft w:val="0"/>
          <w:marRight w:val="0"/>
          <w:marTop w:val="0"/>
          <w:marBottom w:val="160"/>
          <w:divBdr>
            <w:top w:val="none" w:sz="0" w:space="0" w:color="auto"/>
            <w:left w:val="none" w:sz="0" w:space="0" w:color="auto"/>
            <w:bottom w:val="none" w:sz="0" w:space="0" w:color="auto"/>
            <w:right w:val="none" w:sz="0" w:space="0" w:color="auto"/>
          </w:divBdr>
        </w:div>
        <w:div w:id="1365474000">
          <w:marLeft w:val="0"/>
          <w:marRight w:val="0"/>
          <w:marTop w:val="0"/>
          <w:marBottom w:val="160"/>
          <w:divBdr>
            <w:top w:val="none" w:sz="0" w:space="0" w:color="auto"/>
            <w:left w:val="none" w:sz="0" w:space="0" w:color="auto"/>
            <w:bottom w:val="none" w:sz="0" w:space="0" w:color="auto"/>
            <w:right w:val="none" w:sz="0" w:space="0" w:color="auto"/>
          </w:divBdr>
        </w:div>
        <w:div w:id="968433594">
          <w:marLeft w:val="0"/>
          <w:marRight w:val="0"/>
          <w:marTop w:val="0"/>
          <w:marBottom w:val="160"/>
          <w:divBdr>
            <w:top w:val="none" w:sz="0" w:space="0" w:color="auto"/>
            <w:left w:val="none" w:sz="0" w:space="0" w:color="auto"/>
            <w:bottom w:val="none" w:sz="0" w:space="0" w:color="auto"/>
            <w:right w:val="none" w:sz="0" w:space="0" w:color="auto"/>
          </w:divBdr>
        </w:div>
        <w:div w:id="1156846536">
          <w:marLeft w:val="0"/>
          <w:marRight w:val="0"/>
          <w:marTop w:val="0"/>
          <w:marBottom w:val="160"/>
          <w:divBdr>
            <w:top w:val="none" w:sz="0" w:space="0" w:color="auto"/>
            <w:left w:val="none" w:sz="0" w:space="0" w:color="auto"/>
            <w:bottom w:val="none" w:sz="0" w:space="0" w:color="auto"/>
            <w:right w:val="none" w:sz="0" w:space="0" w:color="auto"/>
          </w:divBdr>
        </w:div>
        <w:div w:id="1544487847">
          <w:marLeft w:val="0"/>
          <w:marRight w:val="0"/>
          <w:marTop w:val="0"/>
          <w:marBottom w:val="160"/>
          <w:divBdr>
            <w:top w:val="none" w:sz="0" w:space="0" w:color="auto"/>
            <w:left w:val="none" w:sz="0" w:space="0" w:color="auto"/>
            <w:bottom w:val="none" w:sz="0" w:space="0" w:color="auto"/>
            <w:right w:val="none" w:sz="0" w:space="0" w:color="auto"/>
          </w:divBdr>
        </w:div>
        <w:div w:id="562759515">
          <w:marLeft w:val="0"/>
          <w:marRight w:val="0"/>
          <w:marTop w:val="0"/>
          <w:marBottom w:val="160"/>
          <w:divBdr>
            <w:top w:val="none" w:sz="0" w:space="0" w:color="auto"/>
            <w:left w:val="none" w:sz="0" w:space="0" w:color="auto"/>
            <w:bottom w:val="none" w:sz="0" w:space="0" w:color="auto"/>
            <w:right w:val="none" w:sz="0" w:space="0" w:color="auto"/>
          </w:divBdr>
        </w:div>
        <w:div w:id="1137718387">
          <w:marLeft w:val="0"/>
          <w:marRight w:val="0"/>
          <w:marTop w:val="0"/>
          <w:marBottom w:val="160"/>
          <w:divBdr>
            <w:top w:val="none" w:sz="0" w:space="0" w:color="auto"/>
            <w:left w:val="none" w:sz="0" w:space="0" w:color="auto"/>
            <w:bottom w:val="none" w:sz="0" w:space="0" w:color="auto"/>
            <w:right w:val="none" w:sz="0" w:space="0" w:color="auto"/>
          </w:divBdr>
        </w:div>
        <w:div w:id="929117768">
          <w:marLeft w:val="0"/>
          <w:marRight w:val="0"/>
          <w:marTop w:val="0"/>
          <w:marBottom w:val="160"/>
          <w:divBdr>
            <w:top w:val="none" w:sz="0" w:space="0" w:color="auto"/>
            <w:left w:val="none" w:sz="0" w:space="0" w:color="auto"/>
            <w:bottom w:val="none" w:sz="0" w:space="0" w:color="auto"/>
            <w:right w:val="none" w:sz="0" w:space="0" w:color="auto"/>
          </w:divBdr>
        </w:div>
        <w:div w:id="219367477">
          <w:marLeft w:val="0"/>
          <w:marRight w:val="0"/>
          <w:marTop w:val="0"/>
          <w:marBottom w:val="160"/>
          <w:divBdr>
            <w:top w:val="none" w:sz="0" w:space="0" w:color="auto"/>
            <w:left w:val="none" w:sz="0" w:space="0" w:color="auto"/>
            <w:bottom w:val="none" w:sz="0" w:space="0" w:color="auto"/>
            <w:right w:val="none" w:sz="0" w:space="0" w:color="auto"/>
          </w:divBdr>
        </w:div>
        <w:div w:id="811560629">
          <w:marLeft w:val="0"/>
          <w:marRight w:val="0"/>
          <w:marTop w:val="0"/>
          <w:marBottom w:val="160"/>
          <w:divBdr>
            <w:top w:val="none" w:sz="0" w:space="0" w:color="auto"/>
            <w:left w:val="none" w:sz="0" w:space="0" w:color="auto"/>
            <w:bottom w:val="none" w:sz="0" w:space="0" w:color="auto"/>
            <w:right w:val="none" w:sz="0" w:space="0" w:color="auto"/>
          </w:divBdr>
        </w:div>
        <w:div w:id="853568592">
          <w:marLeft w:val="0"/>
          <w:marRight w:val="0"/>
          <w:marTop w:val="0"/>
          <w:marBottom w:val="160"/>
          <w:divBdr>
            <w:top w:val="none" w:sz="0" w:space="0" w:color="auto"/>
            <w:left w:val="none" w:sz="0" w:space="0" w:color="auto"/>
            <w:bottom w:val="none" w:sz="0" w:space="0" w:color="auto"/>
            <w:right w:val="none" w:sz="0" w:space="0" w:color="auto"/>
          </w:divBdr>
        </w:div>
        <w:div w:id="1878083922">
          <w:marLeft w:val="0"/>
          <w:marRight w:val="0"/>
          <w:marTop w:val="0"/>
          <w:marBottom w:val="160"/>
          <w:divBdr>
            <w:top w:val="none" w:sz="0" w:space="0" w:color="auto"/>
            <w:left w:val="none" w:sz="0" w:space="0" w:color="auto"/>
            <w:bottom w:val="none" w:sz="0" w:space="0" w:color="auto"/>
            <w:right w:val="none" w:sz="0" w:space="0" w:color="auto"/>
          </w:divBdr>
        </w:div>
        <w:div w:id="2078745693">
          <w:marLeft w:val="0"/>
          <w:marRight w:val="0"/>
          <w:marTop w:val="0"/>
          <w:marBottom w:val="160"/>
          <w:divBdr>
            <w:top w:val="none" w:sz="0" w:space="0" w:color="auto"/>
            <w:left w:val="none" w:sz="0" w:space="0" w:color="auto"/>
            <w:bottom w:val="none" w:sz="0" w:space="0" w:color="auto"/>
            <w:right w:val="none" w:sz="0" w:space="0" w:color="auto"/>
          </w:divBdr>
        </w:div>
        <w:div w:id="448668956">
          <w:marLeft w:val="0"/>
          <w:marRight w:val="0"/>
          <w:marTop w:val="0"/>
          <w:marBottom w:val="160"/>
          <w:divBdr>
            <w:top w:val="none" w:sz="0" w:space="0" w:color="auto"/>
            <w:left w:val="none" w:sz="0" w:space="0" w:color="auto"/>
            <w:bottom w:val="none" w:sz="0" w:space="0" w:color="auto"/>
            <w:right w:val="none" w:sz="0" w:space="0" w:color="auto"/>
          </w:divBdr>
        </w:div>
        <w:div w:id="760562372">
          <w:marLeft w:val="0"/>
          <w:marRight w:val="0"/>
          <w:marTop w:val="0"/>
          <w:marBottom w:val="160"/>
          <w:divBdr>
            <w:top w:val="none" w:sz="0" w:space="0" w:color="auto"/>
            <w:left w:val="none" w:sz="0" w:space="0" w:color="auto"/>
            <w:bottom w:val="none" w:sz="0" w:space="0" w:color="auto"/>
            <w:right w:val="none" w:sz="0" w:space="0" w:color="auto"/>
          </w:divBdr>
        </w:div>
        <w:div w:id="2120367177">
          <w:marLeft w:val="0"/>
          <w:marRight w:val="0"/>
          <w:marTop w:val="0"/>
          <w:marBottom w:val="160"/>
          <w:divBdr>
            <w:top w:val="none" w:sz="0" w:space="0" w:color="auto"/>
            <w:left w:val="none" w:sz="0" w:space="0" w:color="auto"/>
            <w:bottom w:val="none" w:sz="0" w:space="0" w:color="auto"/>
            <w:right w:val="none" w:sz="0" w:space="0" w:color="auto"/>
          </w:divBdr>
        </w:div>
        <w:div w:id="1561751112">
          <w:marLeft w:val="0"/>
          <w:marRight w:val="0"/>
          <w:marTop w:val="0"/>
          <w:marBottom w:val="160"/>
          <w:divBdr>
            <w:top w:val="none" w:sz="0" w:space="0" w:color="auto"/>
            <w:left w:val="none" w:sz="0" w:space="0" w:color="auto"/>
            <w:bottom w:val="none" w:sz="0" w:space="0" w:color="auto"/>
            <w:right w:val="none" w:sz="0" w:space="0" w:color="auto"/>
          </w:divBdr>
        </w:div>
        <w:div w:id="1663580840">
          <w:marLeft w:val="0"/>
          <w:marRight w:val="0"/>
          <w:marTop w:val="0"/>
          <w:marBottom w:val="160"/>
          <w:divBdr>
            <w:top w:val="none" w:sz="0" w:space="0" w:color="auto"/>
            <w:left w:val="none" w:sz="0" w:space="0" w:color="auto"/>
            <w:bottom w:val="none" w:sz="0" w:space="0" w:color="auto"/>
            <w:right w:val="none" w:sz="0" w:space="0" w:color="auto"/>
          </w:divBdr>
        </w:div>
        <w:div w:id="1234394505">
          <w:marLeft w:val="0"/>
          <w:marRight w:val="0"/>
          <w:marTop w:val="0"/>
          <w:marBottom w:val="160"/>
          <w:divBdr>
            <w:top w:val="none" w:sz="0" w:space="0" w:color="auto"/>
            <w:left w:val="none" w:sz="0" w:space="0" w:color="auto"/>
            <w:bottom w:val="none" w:sz="0" w:space="0" w:color="auto"/>
            <w:right w:val="none" w:sz="0" w:space="0" w:color="auto"/>
          </w:divBdr>
        </w:div>
        <w:div w:id="54551135">
          <w:marLeft w:val="0"/>
          <w:marRight w:val="0"/>
          <w:marTop w:val="0"/>
          <w:marBottom w:val="160"/>
          <w:divBdr>
            <w:top w:val="none" w:sz="0" w:space="0" w:color="auto"/>
            <w:left w:val="none" w:sz="0" w:space="0" w:color="auto"/>
            <w:bottom w:val="none" w:sz="0" w:space="0" w:color="auto"/>
            <w:right w:val="none" w:sz="0" w:space="0" w:color="auto"/>
          </w:divBdr>
        </w:div>
        <w:div w:id="1963147224">
          <w:marLeft w:val="0"/>
          <w:marRight w:val="0"/>
          <w:marTop w:val="0"/>
          <w:marBottom w:val="160"/>
          <w:divBdr>
            <w:top w:val="none" w:sz="0" w:space="0" w:color="auto"/>
            <w:left w:val="none" w:sz="0" w:space="0" w:color="auto"/>
            <w:bottom w:val="none" w:sz="0" w:space="0" w:color="auto"/>
            <w:right w:val="none" w:sz="0" w:space="0" w:color="auto"/>
          </w:divBdr>
        </w:div>
        <w:div w:id="1766262905">
          <w:marLeft w:val="0"/>
          <w:marRight w:val="0"/>
          <w:marTop w:val="0"/>
          <w:marBottom w:val="160"/>
          <w:divBdr>
            <w:top w:val="none" w:sz="0" w:space="0" w:color="auto"/>
            <w:left w:val="none" w:sz="0" w:space="0" w:color="auto"/>
            <w:bottom w:val="none" w:sz="0" w:space="0" w:color="auto"/>
            <w:right w:val="none" w:sz="0" w:space="0" w:color="auto"/>
          </w:divBdr>
        </w:div>
        <w:div w:id="211767706">
          <w:marLeft w:val="0"/>
          <w:marRight w:val="0"/>
          <w:marTop w:val="0"/>
          <w:marBottom w:val="160"/>
          <w:divBdr>
            <w:top w:val="none" w:sz="0" w:space="0" w:color="auto"/>
            <w:left w:val="none" w:sz="0" w:space="0" w:color="auto"/>
            <w:bottom w:val="none" w:sz="0" w:space="0" w:color="auto"/>
            <w:right w:val="none" w:sz="0" w:space="0" w:color="auto"/>
          </w:divBdr>
        </w:div>
        <w:div w:id="435059004">
          <w:marLeft w:val="0"/>
          <w:marRight w:val="0"/>
          <w:marTop w:val="0"/>
          <w:marBottom w:val="160"/>
          <w:divBdr>
            <w:top w:val="none" w:sz="0" w:space="0" w:color="auto"/>
            <w:left w:val="none" w:sz="0" w:space="0" w:color="auto"/>
            <w:bottom w:val="none" w:sz="0" w:space="0" w:color="auto"/>
            <w:right w:val="none" w:sz="0" w:space="0" w:color="auto"/>
          </w:divBdr>
        </w:div>
        <w:div w:id="413864391">
          <w:marLeft w:val="0"/>
          <w:marRight w:val="0"/>
          <w:marTop w:val="0"/>
          <w:marBottom w:val="160"/>
          <w:divBdr>
            <w:top w:val="none" w:sz="0" w:space="0" w:color="auto"/>
            <w:left w:val="none" w:sz="0" w:space="0" w:color="auto"/>
            <w:bottom w:val="none" w:sz="0" w:space="0" w:color="auto"/>
            <w:right w:val="none" w:sz="0" w:space="0" w:color="auto"/>
          </w:divBdr>
        </w:div>
      </w:divsChild>
    </w:div>
    <w:div w:id="1629891083">
      <w:bodyDiv w:val="1"/>
      <w:marLeft w:val="0"/>
      <w:marRight w:val="0"/>
      <w:marTop w:val="0"/>
      <w:marBottom w:val="0"/>
      <w:divBdr>
        <w:top w:val="none" w:sz="0" w:space="0" w:color="auto"/>
        <w:left w:val="none" w:sz="0" w:space="0" w:color="auto"/>
        <w:bottom w:val="none" w:sz="0" w:space="0" w:color="auto"/>
        <w:right w:val="none" w:sz="0" w:space="0" w:color="auto"/>
      </w:divBdr>
    </w:div>
    <w:div w:id="1717850168">
      <w:bodyDiv w:val="1"/>
      <w:marLeft w:val="0"/>
      <w:marRight w:val="0"/>
      <w:marTop w:val="0"/>
      <w:marBottom w:val="0"/>
      <w:divBdr>
        <w:top w:val="none" w:sz="0" w:space="0" w:color="auto"/>
        <w:left w:val="none" w:sz="0" w:space="0" w:color="auto"/>
        <w:bottom w:val="none" w:sz="0" w:space="0" w:color="auto"/>
        <w:right w:val="none" w:sz="0" w:space="0" w:color="auto"/>
      </w:divBdr>
    </w:div>
    <w:div w:id="1762677670">
      <w:bodyDiv w:val="1"/>
      <w:marLeft w:val="0"/>
      <w:marRight w:val="0"/>
      <w:marTop w:val="0"/>
      <w:marBottom w:val="0"/>
      <w:divBdr>
        <w:top w:val="none" w:sz="0" w:space="0" w:color="auto"/>
        <w:left w:val="none" w:sz="0" w:space="0" w:color="auto"/>
        <w:bottom w:val="none" w:sz="0" w:space="0" w:color="auto"/>
        <w:right w:val="none" w:sz="0" w:space="0" w:color="auto"/>
      </w:divBdr>
    </w:div>
    <w:div w:id="1817189080">
      <w:bodyDiv w:val="1"/>
      <w:marLeft w:val="0"/>
      <w:marRight w:val="0"/>
      <w:marTop w:val="0"/>
      <w:marBottom w:val="0"/>
      <w:divBdr>
        <w:top w:val="none" w:sz="0" w:space="0" w:color="auto"/>
        <w:left w:val="none" w:sz="0" w:space="0" w:color="auto"/>
        <w:bottom w:val="none" w:sz="0" w:space="0" w:color="auto"/>
        <w:right w:val="none" w:sz="0" w:space="0" w:color="auto"/>
      </w:divBdr>
    </w:div>
    <w:div w:id="1838380370">
      <w:bodyDiv w:val="1"/>
      <w:marLeft w:val="0"/>
      <w:marRight w:val="0"/>
      <w:marTop w:val="0"/>
      <w:marBottom w:val="0"/>
      <w:divBdr>
        <w:top w:val="none" w:sz="0" w:space="0" w:color="auto"/>
        <w:left w:val="none" w:sz="0" w:space="0" w:color="auto"/>
        <w:bottom w:val="none" w:sz="0" w:space="0" w:color="auto"/>
        <w:right w:val="none" w:sz="0" w:space="0" w:color="auto"/>
      </w:divBdr>
    </w:div>
    <w:div w:id="1931155379">
      <w:bodyDiv w:val="1"/>
      <w:marLeft w:val="0"/>
      <w:marRight w:val="0"/>
      <w:marTop w:val="0"/>
      <w:marBottom w:val="0"/>
      <w:divBdr>
        <w:top w:val="none" w:sz="0" w:space="0" w:color="auto"/>
        <w:left w:val="none" w:sz="0" w:space="0" w:color="auto"/>
        <w:bottom w:val="none" w:sz="0" w:space="0" w:color="auto"/>
        <w:right w:val="none" w:sz="0" w:space="0" w:color="auto"/>
      </w:divBdr>
    </w:div>
    <w:div w:id="1970933481">
      <w:bodyDiv w:val="1"/>
      <w:marLeft w:val="0"/>
      <w:marRight w:val="0"/>
      <w:marTop w:val="0"/>
      <w:marBottom w:val="0"/>
      <w:divBdr>
        <w:top w:val="none" w:sz="0" w:space="0" w:color="auto"/>
        <w:left w:val="none" w:sz="0" w:space="0" w:color="auto"/>
        <w:bottom w:val="none" w:sz="0" w:space="0" w:color="auto"/>
        <w:right w:val="none" w:sz="0" w:space="0" w:color="auto"/>
      </w:divBdr>
    </w:div>
    <w:div w:id="1979651823">
      <w:bodyDiv w:val="1"/>
      <w:marLeft w:val="0"/>
      <w:marRight w:val="0"/>
      <w:marTop w:val="0"/>
      <w:marBottom w:val="0"/>
      <w:divBdr>
        <w:top w:val="none" w:sz="0" w:space="0" w:color="auto"/>
        <w:left w:val="none" w:sz="0" w:space="0" w:color="auto"/>
        <w:bottom w:val="none" w:sz="0" w:space="0" w:color="auto"/>
        <w:right w:val="none" w:sz="0" w:space="0" w:color="auto"/>
      </w:divBdr>
      <w:divsChild>
        <w:div w:id="290327045">
          <w:marLeft w:val="0"/>
          <w:marRight w:val="0"/>
          <w:marTop w:val="0"/>
          <w:marBottom w:val="0"/>
          <w:divBdr>
            <w:top w:val="none" w:sz="0" w:space="0" w:color="auto"/>
            <w:left w:val="none" w:sz="0" w:space="0" w:color="auto"/>
            <w:bottom w:val="none" w:sz="0" w:space="0" w:color="auto"/>
            <w:right w:val="none" w:sz="0" w:space="0" w:color="auto"/>
          </w:divBdr>
        </w:div>
      </w:divsChild>
    </w:div>
    <w:div w:id="1984701927">
      <w:bodyDiv w:val="1"/>
      <w:marLeft w:val="0"/>
      <w:marRight w:val="0"/>
      <w:marTop w:val="0"/>
      <w:marBottom w:val="0"/>
      <w:divBdr>
        <w:top w:val="none" w:sz="0" w:space="0" w:color="auto"/>
        <w:left w:val="none" w:sz="0" w:space="0" w:color="auto"/>
        <w:bottom w:val="none" w:sz="0" w:space="0" w:color="auto"/>
        <w:right w:val="none" w:sz="0" w:space="0" w:color="auto"/>
      </w:divBdr>
      <w:divsChild>
        <w:div w:id="1259799528">
          <w:marLeft w:val="0"/>
          <w:marRight w:val="0"/>
          <w:marTop w:val="0"/>
          <w:marBottom w:val="160"/>
          <w:divBdr>
            <w:top w:val="none" w:sz="0" w:space="0" w:color="auto"/>
            <w:left w:val="none" w:sz="0" w:space="0" w:color="auto"/>
            <w:bottom w:val="none" w:sz="0" w:space="0" w:color="auto"/>
            <w:right w:val="none" w:sz="0" w:space="0" w:color="auto"/>
          </w:divBdr>
        </w:div>
        <w:div w:id="1879396015">
          <w:marLeft w:val="0"/>
          <w:marRight w:val="0"/>
          <w:marTop w:val="0"/>
          <w:marBottom w:val="160"/>
          <w:divBdr>
            <w:top w:val="none" w:sz="0" w:space="0" w:color="auto"/>
            <w:left w:val="none" w:sz="0" w:space="0" w:color="auto"/>
            <w:bottom w:val="none" w:sz="0" w:space="0" w:color="auto"/>
            <w:right w:val="none" w:sz="0" w:space="0" w:color="auto"/>
          </w:divBdr>
        </w:div>
        <w:div w:id="969433769">
          <w:marLeft w:val="0"/>
          <w:marRight w:val="0"/>
          <w:marTop w:val="0"/>
          <w:marBottom w:val="160"/>
          <w:divBdr>
            <w:top w:val="none" w:sz="0" w:space="0" w:color="auto"/>
            <w:left w:val="none" w:sz="0" w:space="0" w:color="auto"/>
            <w:bottom w:val="none" w:sz="0" w:space="0" w:color="auto"/>
            <w:right w:val="none" w:sz="0" w:space="0" w:color="auto"/>
          </w:divBdr>
        </w:div>
        <w:div w:id="34502708">
          <w:marLeft w:val="0"/>
          <w:marRight w:val="0"/>
          <w:marTop w:val="0"/>
          <w:marBottom w:val="160"/>
          <w:divBdr>
            <w:top w:val="none" w:sz="0" w:space="0" w:color="auto"/>
            <w:left w:val="none" w:sz="0" w:space="0" w:color="auto"/>
            <w:bottom w:val="none" w:sz="0" w:space="0" w:color="auto"/>
            <w:right w:val="none" w:sz="0" w:space="0" w:color="auto"/>
          </w:divBdr>
        </w:div>
        <w:div w:id="537087336">
          <w:marLeft w:val="0"/>
          <w:marRight w:val="0"/>
          <w:marTop w:val="0"/>
          <w:marBottom w:val="160"/>
          <w:divBdr>
            <w:top w:val="none" w:sz="0" w:space="0" w:color="auto"/>
            <w:left w:val="none" w:sz="0" w:space="0" w:color="auto"/>
            <w:bottom w:val="none" w:sz="0" w:space="0" w:color="auto"/>
            <w:right w:val="none" w:sz="0" w:space="0" w:color="auto"/>
          </w:divBdr>
        </w:div>
        <w:div w:id="647054846">
          <w:marLeft w:val="0"/>
          <w:marRight w:val="0"/>
          <w:marTop w:val="0"/>
          <w:marBottom w:val="160"/>
          <w:divBdr>
            <w:top w:val="none" w:sz="0" w:space="0" w:color="auto"/>
            <w:left w:val="none" w:sz="0" w:space="0" w:color="auto"/>
            <w:bottom w:val="none" w:sz="0" w:space="0" w:color="auto"/>
            <w:right w:val="none" w:sz="0" w:space="0" w:color="auto"/>
          </w:divBdr>
        </w:div>
        <w:div w:id="772895544">
          <w:marLeft w:val="0"/>
          <w:marRight w:val="0"/>
          <w:marTop w:val="0"/>
          <w:marBottom w:val="160"/>
          <w:divBdr>
            <w:top w:val="none" w:sz="0" w:space="0" w:color="auto"/>
            <w:left w:val="none" w:sz="0" w:space="0" w:color="auto"/>
            <w:bottom w:val="none" w:sz="0" w:space="0" w:color="auto"/>
            <w:right w:val="none" w:sz="0" w:space="0" w:color="auto"/>
          </w:divBdr>
        </w:div>
        <w:div w:id="1748111545">
          <w:marLeft w:val="0"/>
          <w:marRight w:val="0"/>
          <w:marTop w:val="0"/>
          <w:marBottom w:val="160"/>
          <w:divBdr>
            <w:top w:val="none" w:sz="0" w:space="0" w:color="auto"/>
            <w:left w:val="none" w:sz="0" w:space="0" w:color="auto"/>
            <w:bottom w:val="none" w:sz="0" w:space="0" w:color="auto"/>
            <w:right w:val="none" w:sz="0" w:space="0" w:color="auto"/>
          </w:divBdr>
        </w:div>
        <w:div w:id="327444765">
          <w:marLeft w:val="0"/>
          <w:marRight w:val="0"/>
          <w:marTop w:val="0"/>
          <w:marBottom w:val="160"/>
          <w:divBdr>
            <w:top w:val="none" w:sz="0" w:space="0" w:color="auto"/>
            <w:left w:val="none" w:sz="0" w:space="0" w:color="auto"/>
            <w:bottom w:val="none" w:sz="0" w:space="0" w:color="auto"/>
            <w:right w:val="none" w:sz="0" w:space="0" w:color="auto"/>
          </w:divBdr>
        </w:div>
        <w:div w:id="704716872">
          <w:marLeft w:val="0"/>
          <w:marRight w:val="0"/>
          <w:marTop w:val="0"/>
          <w:marBottom w:val="160"/>
          <w:divBdr>
            <w:top w:val="none" w:sz="0" w:space="0" w:color="auto"/>
            <w:left w:val="none" w:sz="0" w:space="0" w:color="auto"/>
            <w:bottom w:val="none" w:sz="0" w:space="0" w:color="auto"/>
            <w:right w:val="none" w:sz="0" w:space="0" w:color="auto"/>
          </w:divBdr>
        </w:div>
        <w:div w:id="1897617110">
          <w:marLeft w:val="0"/>
          <w:marRight w:val="0"/>
          <w:marTop w:val="0"/>
          <w:marBottom w:val="160"/>
          <w:divBdr>
            <w:top w:val="none" w:sz="0" w:space="0" w:color="auto"/>
            <w:left w:val="none" w:sz="0" w:space="0" w:color="auto"/>
            <w:bottom w:val="none" w:sz="0" w:space="0" w:color="auto"/>
            <w:right w:val="none" w:sz="0" w:space="0" w:color="auto"/>
          </w:divBdr>
        </w:div>
        <w:div w:id="1879271178">
          <w:marLeft w:val="0"/>
          <w:marRight w:val="0"/>
          <w:marTop w:val="0"/>
          <w:marBottom w:val="160"/>
          <w:divBdr>
            <w:top w:val="none" w:sz="0" w:space="0" w:color="auto"/>
            <w:left w:val="none" w:sz="0" w:space="0" w:color="auto"/>
            <w:bottom w:val="none" w:sz="0" w:space="0" w:color="auto"/>
            <w:right w:val="none" w:sz="0" w:space="0" w:color="auto"/>
          </w:divBdr>
        </w:div>
        <w:div w:id="476995955">
          <w:marLeft w:val="0"/>
          <w:marRight w:val="0"/>
          <w:marTop w:val="0"/>
          <w:marBottom w:val="160"/>
          <w:divBdr>
            <w:top w:val="none" w:sz="0" w:space="0" w:color="auto"/>
            <w:left w:val="none" w:sz="0" w:space="0" w:color="auto"/>
            <w:bottom w:val="none" w:sz="0" w:space="0" w:color="auto"/>
            <w:right w:val="none" w:sz="0" w:space="0" w:color="auto"/>
          </w:divBdr>
        </w:div>
        <w:div w:id="508175332">
          <w:marLeft w:val="0"/>
          <w:marRight w:val="0"/>
          <w:marTop w:val="0"/>
          <w:marBottom w:val="160"/>
          <w:divBdr>
            <w:top w:val="none" w:sz="0" w:space="0" w:color="auto"/>
            <w:left w:val="none" w:sz="0" w:space="0" w:color="auto"/>
            <w:bottom w:val="none" w:sz="0" w:space="0" w:color="auto"/>
            <w:right w:val="none" w:sz="0" w:space="0" w:color="auto"/>
          </w:divBdr>
        </w:div>
        <w:div w:id="18118749">
          <w:marLeft w:val="0"/>
          <w:marRight w:val="0"/>
          <w:marTop w:val="0"/>
          <w:marBottom w:val="160"/>
          <w:divBdr>
            <w:top w:val="none" w:sz="0" w:space="0" w:color="auto"/>
            <w:left w:val="none" w:sz="0" w:space="0" w:color="auto"/>
            <w:bottom w:val="none" w:sz="0" w:space="0" w:color="auto"/>
            <w:right w:val="none" w:sz="0" w:space="0" w:color="auto"/>
          </w:divBdr>
        </w:div>
        <w:div w:id="662197092">
          <w:marLeft w:val="0"/>
          <w:marRight w:val="0"/>
          <w:marTop w:val="0"/>
          <w:marBottom w:val="160"/>
          <w:divBdr>
            <w:top w:val="none" w:sz="0" w:space="0" w:color="auto"/>
            <w:left w:val="none" w:sz="0" w:space="0" w:color="auto"/>
            <w:bottom w:val="none" w:sz="0" w:space="0" w:color="auto"/>
            <w:right w:val="none" w:sz="0" w:space="0" w:color="auto"/>
          </w:divBdr>
        </w:div>
        <w:div w:id="1419330295">
          <w:marLeft w:val="0"/>
          <w:marRight w:val="0"/>
          <w:marTop w:val="0"/>
          <w:marBottom w:val="160"/>
          <w:divBdr>
            <w:top w:val="none" w:sz="0" w:space="0" w:color="auto"/>
            <w:left w:val="none" w:sz="0" w:space="0" w:color="auto"/>
            <w:bottom w:val="none" w:sz="0" w:space="0" w:color="auto"/>
            <w:right w:val="none" w:sz="0" w:space="0" w:color="auto"/>
          </w:divBdr>
        </w:div>
        <w:div w:id="629438293">
          <w:marLeft w:val="0"/>
          <w:marRight w:val="0"/>
          <w:marTop w:val="0"/>
          <w:marBottom w:val="160"/>
          <w:divBdr>
            <w:top w:val="none" w:sz="0" w:space="0" w:color="auto"/>
            <w:left w:val="none" w:sz="0" w:space="0" w:color="auto"/>
            <w:bottom w:val="none" w:sz="0" w:space="0" w:color="auto"/>
            <w:right w:val="none" w:sz="0" w:space="0" w:color="auto"/>
          </w:divBdr>
        </w:div>
        <w:div w:id="738214042">
          <w:marLeft w:val="0"/>
          <w:marRight w:val="0"/>
          <w:marTop w:val="0"/>
          <w:marBottom w:val="160"/>
          <w:divBdr>
            <w:top w:val="none" w:sz="0" w:space="0" w:color="auto"/>
            <w:left w:val="none" w:sz="0" w:space="0" w:color="auto"/>
            <w:bottom w:val="none" w:sz="0" w:space="0" w:color="auto"/>
            <w:right w:val="none" w:sz="0" w:space="0" w:color="auto"/>
          </w:divBdr>
        </w:div>
        <w:div w:id="2139566330">
          <w:marLeft w:val="0"/>
          <w:marRight w:val="0"/>
          <w:marTop w:val="0"/>
          <w:marBottom w:val="160"/>
          <w:divBdr>
            <w:top w:val="none" w:sz="0" w:space="0" w:color="auto"/>
            <w:left w:val="none" w:sz="0" w:space="0" w:color="auto"/>
            <w:bottom w:val="none" w:sz="0" w:space="0" w:color="auto"/>
            <w:right w:val="none" w:sz="0" w:space="0" w:color="auto"/>
          </w:divBdr>
        </w:div>
        <w:div w:id="231817788">
          <w:marLeft w:val="0"/>
          <w:marRight w:val="0"/>
          <w:marTop w:val="0"/>
          <w:marBottom w:val="160"/>
          <w:divBdr>
            <w:top w:val="none" w:sz="0" w:space="0" w:color="auto"/>
            <w:left w:val="none" w:sz="0" w:space="0" w:color="auto"/>
            <w:bottom w:val="none" w:sz="0" w:space="0" w:color="auto"/>
            <w:right w:val="none" w:sz="0" w:space="0" w:color="auto"/>
          </w:divBdr>
        </w:div>
        <w:div w:id="636569465">
          <w:marLeft w:val="0"/>
          <w:marRight w:val="0"/>
          <w:marTop w:val="0"/>
          <w:marBottom w:val="160"/>
          <w:divBdr>
            <w:top w:val="none" w:sz="0" w:space="0" w:color="auto"/>
            <w:left w:val="none" w:sz="0" w:space="0" w:color="auto"/>
            <w:bottom w:val="none" w:sz="0" w:space="0" w:color="auto"/>
            <w:right w:val="none" w:sz="0" w:space="0" w:color="auto"/>
          </w:divBdr>
        </w:div>
        <w:div w:id="2026858404">
          <w:marLeft w:val="0"/>
          <w:marRight w:val="0"/>
          <w:marTop w:val="0"/>
          <w:marBottom w:val="160"/>
          <w:divBdr>
            <w:top w:val="none" w:sz="0" w:space="0" w:color="auto"/>
            <w:left w:val="none" w:sz="0" w:space="0" w:color="auto"/>
            <w:bottom w:val="none" w:sz="0" w:space="0" w:color="auto"/>
            <w:right w:val="none" w:sz="0" w:space="0" w:color="auto"/>
          </w:divBdr>
        </w:div>
        <w:div w:id="480468375">
          <w:marLeft w:val="0"/>
          <w:marRight w:val="0"/>
          <w:marTop w:val="0"/>
          <w:marBottom w:val="160"/>
          <w:divBdr>
            <w:top w:val="none" w:sz="0" w:space="0" w:color="auto"/>
            <w:left w:val="none" w:sz="0" w:space="0" w:color="auto"/>
            <w:bottom w:val="none" w:sz="0" w:space="0" w:color="auto"/>
            <w:right w:val="none" w:sz="0" w:space="0" w:color="auto"/>
          </w:divBdr>
        </w:div>
        <w:div w:id="234978994">
          <w:marLeft w:val="0"/>
          <w:marRight w:val="0"/>
          <w:marTop w:val="0"/>
          <w:marBottom w:val="160"/>
          <w:divBdr>
            <w:top w:val="none" w:sz="0" w:space="0" w:color="auto"/>
            <w:left w:val="none" w:sz="0" w:space="0" w:color="auto"/>
            <w:bottom w:val="none" w:sz="0" w:space="0" w:color="auto"/>
            <w:right w:val="none" w:sz="0" w:space="0" w:color="auto"/>
          </w:divBdr>
        </w:div>
        <w:div w:id="392581148">
          <w:marLeft w:val="0"/>
          <w:marRight w:val="0"/>
          <w:marTop w:val="0"/>
          <w:marBottom w:val="160"/>
          <w:divBdr>
            <w:top w:val="none" w:sz="0" w:space="0" w:color="auto"/>
            <w:left w:val="none" w:sz="0" w:space="0" w:color="auto"/>
            <w:bottom w:val="none" w:sz="0" w:space="0" w:color="auto"/>
            <w:right w:val="none" w:sz="0" w:space="0" w:color="auto"/>
          </w:divBdr>
        </w:div>
        <w:div w:id="1631983015">
          <w:marLeft w:val="0"/>
          <w:marRight w:val="0"/>
          <w:marTop w:val="0"/>
          <w:marBottom w:val="160"/>
          <w:divBdr>
            <w:top w:val="none" w:sz="0" w:space="0" w:color="auto"/>
            <w:left w:val="none" w:sz="0" w:space="0" w:color="auto"/>
            <w:bottom w:val="none" w:sz="0" w:space="0" w:color="auto"/>
            <w:right w:val="none" w:sz="0" w:space="0" w:color="auto"/>
          </w:divBdr>
        </w:div>
        <w:div w:id="1115176847">
          <w:marLeft w:val="0"/>
          <w:marRight w:val="0"/>
          <w:marTop w:val="0"/>
          <w:marBottom w:val="160"/>
          <w:divBdr>
            <w:top w:val="none" w:sz="0" w:space="0" w:color="auto"/>
            <w:left w:val="none" w:sz="0" w:space="0" w:color="auto"/>
            <w:bottom w:val="none" w:sz="0" w:space="0" w:color="auto"/>
            <w:right w:val="none" w:sz="0" w:space="0" w:color="auto"/>
          </w:divBdr>
        </w:div>
        <w:div w:id="1709455225">
          <w:marLeft w:val="0"/>
          <w:marRight w:val="0"/>
          <w:marTop w:val="0"/>
          <w:marBottom w:val="160"/>
          <w:divBdr>
            <w:top w:val="none" w:sz="0" w:space="0" w:color="auto"/>
            <w:left w:val="none" w:sz="0" w:space="0" w:color="auto"/>
            <w:bottom w:val="none" w:sz="0" w:space="0" w:color="auto"/>
            <w:right w:val="none" w:sz="0" w:space="0" w:color="auto"/>
          </w:divBdr>
        </w:div>
        <w:div w:id="803500687">
          <w:marLeft w:val="0"/>
          <w:marRight w:val="0"/>
          <w:marTop w:val="0"/>
          <w:marBottom w:val="160"/>
          <w:divBdr>
            <w:top w:val="none" w:sz="0" w:space="0" w:color="auto"/>
            <w:left w:val="none" w:sz="0" w:space="0" w:color="auto"/>
            <w:bottom w:val="none" w:sz="0" w:space="0" w:color="auto"/>
            <w:right w:val="none" w:sz="0" w:space="0" w:color="auto"/>
          </w:divBdr>
        </w:div>
        <w:div w:id="71974541">
          <w:marLeft w:val="0"/>
          <w:marRight w:val="0"/>
          <w:marTop w:val="0"/>
          <w:marBottom w:val="160"/>
          <w:divBdr>
            <w:top w:val="none" w:sz="0" w:space="0" w:color="auto"/>
            <w:left w:val="none" w:sz="0" w:space="0" w:color="auto"/>
            <w:bottom w:val="none" w:sz="0" w:space="0" w:color="auto"/>
            <w:right w:val="none" w:sz="0" w:space="0" w:color="auto"/>
          </w:divBdr>
        </w:div>
        <w:div w:id="1353603771">
          <w:marLeft w:val="0"/>
          <w:marRight w:val="0"/>
          <w:marTop w:val="0"/>
          <w:marBottom w:val="160"/>
          <w:divBdr>
            <w:top w:val="none" w:sz="0" w:space="0" w:color="auto"/>
            <w:left w:val="none" w:sz="0" w:space="0" w:color="auto"/>
            <w:bottom w:val="none" w:sz="0" w:space="0" w:color="auto"/>
            <w:right w:val="none" w:sz="0" w:space="0" w:color="auto"/>
          </w:divBdr>
        </w:div>
        <w:div w:id="1705134921">
          <w:marLeft w:val="0"/>
          <w:marRight w:val="0"/>
          <w:marTop w:val="0"/>
          <w:marBottom w:val="160"/>
          <w:divBdr>
            <w:top w:val="none" w:sz="0" w:space="0" w:color="auto"/>
            <w:left w:val="none" w:sz="0" w:space="0" w:color="auto"/>
            <w:bottom w:val="none" w:sz="0" w:space="0" w:color="auto"/>
            <w:right w:val="none" w:sz="0" w:space="0" w:color="auto"/>
          </w:divBdr>
        </w:div>
        <w:div w:id="1604649994">
          <w:marLeft w:val="0"/>
          <w:marRight w:val="0"/>
          <w:marTop w:val="0"/>
          <w:marBottom w:val="160"/>
          <w:divBdr>
            <w:top w:val="none" w:sz="0" w:space="0" w:color="auto"/>
            <w:left w:val="none" w:sz="0" w:space="0" w:color="auto"/>
            <w:bottom w:val="none" w:sz="0" w:space="0" w:color="auto"/>
            <w:right w:val="none" w:sz="0" w:space="0" w:color="auto"/>
          </w:divBdr>
        </w:div>
        <w:div w:id="253708098">
          <w:marLeft w:val="0"/>
          <w:marRight w:val="0"/>
          <w:marTop w:val="0"/>
          <w:marBottom w:val="160"/>
          <w:divBdr>
            <w:top w:val="none" w:sz="0" w:space="0" w:color="auto"/>
            <w:left w:val="none" w:sz="0" w:space="0" w:color="auto"/>
            <w:bottom w:val="none" w:sz="0" w:space="0" w:color="auto"/>
            <w:right w:val="none" w:sz="0" w:space="0" w:color="auto"/>
          </w:divBdr>
        </w:div>
        <w:div w:id="1421487265">
          <w:marLeft w:val="0"/>
          <w:marRight w:val="0"/>
          <w:marTop w:val="0"/>
          <w:marBottom w:val="160"/>
          <w:divBdr>
            <w:top w:val="none" w:sz="0" w:space="0" w:color="auto"/>
            <w:left w:val="none" w:sz="0" w:space="0" w:color="auto"/>
            <w:bottom w:val="none" w:sz="0" w:space="0" w:color="auto"/>
            <w:right w:val="none" w:sz="0" w:space="0" w:color="auto"/>
          </w:divBdr>
        </w:div>
        <w:div w:id="717321692">
          <w:marLeft w:val="0"/>
          <w:marRight w:val="0"/>
          <w:marTop w:val="0"/>
          <w:marBottom w:val="160"/>
          <w:divBdr>
            <w:top w:val="none" w:sz="0" w:space="0" w:color="auto"/>
            <w:left w:val="none" w:sz="0" w:space="0" w:color="auto"/>
            <w:bottom w:val="none" w:sz="0" w:space="0" w:color="auto"/>
            <w:right w:val="none" w:sz="0" w:space="0" w:color="auto"/>
          </w:divBdr>
        </w:div>
        <w:div w:id="437799959">
          <w:marLeft w:val="0"/>
          <w:marRight w:val="0"/>
          <w:marTop w:val="0"/>
          <w:marBottom w:val="160"/>
          <w:divBdr>
            <w:top w:val="none" w:sz="0" w:space="0" w:color="auto"/>
            <w:left w:val="none" w:sz="0" w:space="0" w:color="auto"/>
            <w:bottom w:val="none" w:sz="0" w:space="0" w:color="auto"/>
            <w:right w:val="none" w:sz="0" w:space="0" w:color="auto"/>
          </w:divBdr>
        </w:div>
        <w:div w:id="939025495">
          <w:marLeft w:val="0"/>
          <w:marRight w:val="0"/>
          <w:marTop w:val="0"/>
          <w:marBottom w:val="160"/>
          <w:divBdr>
            <w:top w:val="none" w:sz="0" w:space="0" w:color="auto"/>
            <w:left w:val="none" w:sz="0" w:space="0" w:color="auto"/>
            <w:bottom w:val="none" w:sz="0" w:space="0" w:color="auto"/>
            <w:right w:val="none" w:sz="0" w:space="0" w:color="auto"/>
          </w:divBdr>
        </w:div>
      </w:divsChild>
    </w:div>
    <w:div w:id="2081515581">
      <w:bodyDiv w:val="1"/>
      <w:marLeft w:val="0"/>
      <w:marRight w:val="0"/>
      <w:marTop w:val="0"/>
      <w:marBottom w:val="0"/>
      <w:divBdr>
        <w:top w:val="none" w:sz="0" w:space="0" w:color="auto"/>
        <w:left w:val="none" w:sz="0" w:space="0" w:color="auto"/>
        <w:bottom w:val="none" w:sz="0" w:space="0" w:color="auto"/>
        <w:right w:val="none" w:sz="0" w:space="0" w:color="auto"/>
      </w:divBdr>
    </w:div>
    <w:div w:id="2125269342">
      <w:bodyDiv w:val="1"/>
      <w:marLeft w:val="0"/>
      <w:marRight w:val="0"/>
      <w:marTop w:val="0"/>
      <w:marBottom w:val="0"/>
      <w:divBdr>
        <w:top w:val="none" w:sz="0" w:space="0" w:color="auto"/>
        <w:left w:val="none" w:sz="0" w:space="0" w:color="auto"/>
        <w:bottom w:val="none" w:sz="0" w:space="0" w:color="auto"/>
        <w:right w:val="none" w:sz="0" w:space="0" w:color="auto"/>
      </w:divBdr>
    </w:div>
    <w:div w:id="2128043932">
      <w:bodyDiv w:val="1"/>
      <w:marLeft w:val="0"/>
      <w:marRight w:val="0"/>
      <w:marTop w:val="0"/>
      <w:marBottom w:val="0"/>
      <w:divBdr>
        <w:top w:val="none" w:sz="0" w:space="0" w:color="auto"/>
        <w:left w:val="none" w:sz="0" w:space="0" w:color="auto"/>
        <w:bottom w:val="none" w:sz="0" w:space="0" w:color="auto"/>
        <w:right w:val="none" w:sz="0" w:space="0" w:color="auto"/>
      </w:divBdr>
      <w:divsChild>
        <w:div w:id="1211961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ontrolinterno@esehospitalguaviare.gov.co"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esehospitalguaviar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54A46-405A-4518-A1FA-C29D99FF8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4810</Words>
  <Characters>26460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31208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Johanna Marcela Sanchez Parra</dc:creator>
  <cp:lastModifiedBy>HOSPITAL</cp:lastModifiedBy>
  <cp:revision>3</cp:revision>
  <cp:lastPrinted>2024-08-22T16:55:00Z</cp:lastPrinted>
  <dcterms:created xsi:type="dcterms:W3CDTF">2025-02-06T20:40:00Z</dcterms:created>
  <dcterms:modified xsi:type="dcterms:W3CDTF">2025-04-08T16:02:00Z</dcterms:modified>
</cp:coreProperties>
</file>